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5D241D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r w:rsidRPr="005D241D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5D241D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5D241D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5D241D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5D241D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Fa</w:t>
            </w:r>
            <w:r w:rsidR="00C743B6" w:rsidRPr="005D241D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5D241D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5D241D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9E9" w:rsidRPr="005D241D" w:rsidRDefault="002B09E9" w:rsidP="002B09E9">
            <w:pPr>
              <w:pStyle w:val="BalloonText"/>
              <w:spacing w:line="276" w:lineRule="auto"/>
              <w:ind w:right="175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Formation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Grand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Duchy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Lithuania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Spread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European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Civilization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Late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Middle</w:t>
            </w:r>
            <w:proofErr w:type="spellEnd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Ages</w:t>
            </w:r>
            <w:proofErr w:type="spellEnd"/>
          </w:p>
          <w:p w:rsidR="00654E78" w:rsidRPr="005D241D" w:rsidRDefault="00654E7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CFD" w:rsidRPr="005D241D" w:rsidRDefault="000F6CFD" w:rsidP="000F6CFD">
            <w:pPr>
              <w:rPr>
                <w:sz w:val="22"/>
                <w:szCs w:val="22"/>
              </w:rPr>
            </w:pPr>
            <w:r w:rsidRPr="005D241D">
              <w:rPr>
                <w:sz w:val="22"/>
                <w:szCs w:val="22"/>
              </w:rPr>
              <w:t xml:space="preserve">History and Archaeology </w:t>
            </w:r>
          </w:p>
          <w:p w:rsidR="00654E78" w:rsidRPr="005D241D" w:rsidRDefault="000F6CFD" w:rsidP="000F6CFD">
            <w:pPr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5D241D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5D241D" w:rsidRDefault="000F6CFD" w:rsidP="008D2ACD">
            <w:pPr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</w:rPr>
              <w:t>Department of</w:t>
            </w:r>
            <w:r w:rsidR="008D2ACD" w:rsidRPr="005D241D">
              <w:rPr>
                <w:sz w:val="22"/>
                <w:szCs w:val="22"/>
              </w:rPr>
              <w:t xml:space="preserve"> </w:t>
            </w:r>
            <w:r w:rsidR="008D2ACD" w:rsidRPr="005D241D">
              <w:rPr>
                <w:bCs/>
                <w:sz w:val="22"/>
                <w:szCs w:val="22"/>
                <w:u w:color="000000"/>
              </w:rPr>
              <w:t>Ancient and Medieval History</w:t>
            </w:r>
          </w:p>
        </w:tc>
      </w:tr>
      <w:tr w:rsidR="00654E78" w:rsidRPr="005D241D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5D241D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5D241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5D241D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5D241D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r w:rsidR="009844CC" w:rsidRPr="005D241D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5D241D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5D241D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r w:rsidR="009708B7" w:rsidRPr="005D241D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5D241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5D241D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5D241D" w:rsidRDefault="00BD5D39" w:rsidP="00BD5D39">
            <w:pPr>
              <w:jc w:val="center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5D241D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5D241D" w:rsidRDefault="00BD5D39" w:rsidP="00BD5D39">
            <w:pPr>
              <w:jc w:val="center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1</w:t>
            </w:r>
          </w:p>
        </w:tc>
      </w:tr>
      <w:tr w:rsidR="002D3C12" w:rsidRPr="005D241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5D241D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5D241D" w:rsidRDefault="00BD5D39" w:rsidP="00BD5D39">
            <w:pPr>
              <w:jc w:val="center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5D241D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semina</w:t>
            </w:r>
            <w:r w:rsidR="00CA6702" w:rsidRPr="005D241D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5D241D" w:rsidRDefault="00BD5D39" w:rsidP="00BD5D39">
            <w:pPr>
              <w:jc w:val="center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2,5</w:t>
            </w:r>
          </w:p>
        </w:tc>
      </w:tr>
    </w:tbl>
    <w:p w:rsidR="002D3C12" w:rsidRPr="005D241D" w:rsidRDefault="00F76EBE">
      <w:pPr>
        <w:rPr>
          <w:sz w:val="22"/>
          <w:szCs w:val="22"/>
          <w:lang w:val="lt-LT"/>
        </w:rPr>
      </w:pPr>
      <w:r w:rsidRPr="005D241D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</w:t>
      </w:r>
      <w:proofErr w:type="gramStart"/>
      <w:r w:rsidR="005A3568" w:rsidRPr="005D241D">
        <w:rPr>
          <w:b/>
          <w:bCs/>
          <w:sz w:val="22"/>
          <w:szCs w:val="22"/>
        </w:rPr>
        <w:t>Total  7</w:t>
      </w:r>
      <w:proofErr w:type="gramEnd"/>
      <w:r w:rsidR="005A3568" w:rsidRPr="005D241D">
        <w:rPr>
          <w:b/>
          <w:bCs/>
          <w:sz w:val="22"/>
          <w:szCs w:val="22"/>
        </w:rPr>
        <w:t>,5</w:t>
      </w:r>
      <w:r w:rsidRPr="005D241D">
        <w:rPr>
          <w:sz w:val="22"/>
          <w:szCs w:val="22"/>
          <w:lang w:val="lt-LT"/>
        </w:rPr>
        <w:t xml:space="preserve">                       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3"/>
      </w:tblGrid>
      <w:tr w:rsidR="002D3C12" w:rsidRPr="005D241D" w:rsidTr="002322EA"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5D241D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5D241D" w:rsidTr="002322EA">
        <w:tc>
          <w:tcPr>
            <w:tcW w:w="9287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0350FF" w:rsidRPr="005D241D" w:rsidRDefault="000350FF" w:rsidP="000350FF">
            <w:pPr>
              <w:pStyle w:val="BalloonText"/>
              <w:spacing w:line="276" w:lineRule="auto"/>
              <w:ind w:righ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formation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early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Lithuanian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monarchy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are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best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revealed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examining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process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emergence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well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political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administrative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legal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institutions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their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further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shows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long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uneven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Lithuanian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state's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formation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when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periods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change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replaced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periods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stagnation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even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decline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Lithuanian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formed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context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a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profound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cultural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transformation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Late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Medieval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(13th to 15th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century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circumstance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clash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heterogeneous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territory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new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but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other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to a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rapid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adaptation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already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established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emerging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European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institutions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norms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concepts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</w:p>
          <w:p w:rsidR="000350FF" w:rsidRPr="005D241D" w:rsidRDefault="000350FF" w:rsidP="000350FF">
            <w:pPr>
              <w:pStyle w:val="BalloonText"/>
              <w:spacing w:line="276" w:lineRule="auto"/>
              <w:ind w:righ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aims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analyze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Grand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Duchy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Lithuania (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hereafter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referred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GDL)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neighboring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countries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Western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Central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-Eastern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get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know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conditions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principles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functioning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Medieval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observe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tendencies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find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out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preconditions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modernization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determine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periods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most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intense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changes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Lithuanian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society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13th to 15th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centuries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were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shaped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adopting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features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European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society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therefore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knowledge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possible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only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context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historical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process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Western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Middle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Eastern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.</w:t>
            </w:r>
            <w:r w:rsidRPr="005D2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Thus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fundamental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aspect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formation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GDL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under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universal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influence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Late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Medieval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European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politics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culture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other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eastward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expansion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GDL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drew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it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into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space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Orthodox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Byzantine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civilization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which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marked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regional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differences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within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</w:p>
          <w:p w:rsidR="000350FF" w:rsidRPr="005D241D" w:rsidRDefault="000350FF" w:rsidP="000350FF">
            <w:pPr>
              <w:pStyle w:val="BalloonText"/>
              <w:spacing w:line="276" w:lineRule="auto"/>
              <w:ind w:righ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comparative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perspective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offered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allows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us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appreciate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similarities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differences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between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different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regions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better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understand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trajectories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their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further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historical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focus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state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structures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institutions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evolution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key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legal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norms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lectures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review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main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trends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history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GDL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13th to 15th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centuries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contrasting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them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with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development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similar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political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cultural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phenomena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Western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Middle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Eastern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presents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latest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trends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European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Medieval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historiography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It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introduces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nature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multilingual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sources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from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late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Middle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Ages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. </w:t>
            </w:r>
          </w:p>
          <w:p w:rsidR="000350FF" w:rsidRPr="005D241D" w:rsidRDefault="000350FF" w:rsidP="000350FF">
            <w:pPr>
              <w:pStyle w:val="BalloonText"/>
              <w:spacing w:line="276" w:lineRule="auto"/>
              <w:ind w:righ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course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consists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a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series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introductory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tutorials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introduction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subject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matter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coordination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topics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doctoral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thesis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;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seminars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which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doctoral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students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present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their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research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work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a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topic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their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choice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corresponding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to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subject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matter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their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thesis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).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work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basis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for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assessment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examination</w:t>
            </w:r>
            <w:proofErr w:type="spellEnd"/>
            <w:r w:rsidRPr="005D24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.</w:t>
            </w:r>
          </w:p>
          <w:p w:rsidR="002D3C12" w:rsidRPr="005D241D" w:rsidRDefault="002D3C12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D3C12" w:rsidRPr="005D241D" w:rsidTr="002322EA">
        <w:tc>
          <w:tcPr>
            <w:tcW w:w="9287" w:type="dxa"/>
            <w:gridSpan w:val="3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5D241D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351B66" w:rsidRPr="005D241D" w:rsidTr="002322EA">
        <w:trPr>
          <w:trHeight w:val="2307"/>
        </w:trPr>
        <w:tc>
          <w:tcPr>
            <w:tcW w:w="9287" w:type="dxa"/>
            <w:gridSpan w:val="3"/>
            <w:tcBorders>
              <w:top w:val="nil"/>
            </w:tcBorders>
          </w:tcPr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5D241D">
              <w:rPr>
                <w:sz w:val="22"/>
                <w:szCs w:val="22"/>
                <w:lang w:val="pl-PL"/>
              </w:rPr>
              <w:lastRenderedPageBreak/>
              <w:t xml:space="preserve">Bardach Juliusz, Studia z ustroju i prawa Wielkiego Księstwa Litewskiego XIV-XVII w., Warszawa-Białystok, 1970 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pl-PL"/>
              </w:rPr>
            </w:pPr>
            <w:r w:rsidRPr="005D241D">
              <w:rPr>
                <w:sz w:val="22"/>
                <w:szCs w:val="22"/>
                <w:lang w:val="pl-PL"/>
              </w:rPr>
              <w:t xml:space="preserve">Bloch Marc, La société féodale, t. 1-2, Paris, 1939-1940 (ir įvairūs vėlesni leidimai bei vertimai) 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D241D">
              <w:rPr>
                <w:sz w:val="22"/>
                <w:szCs w:val="22"/>
                <w:lang w:val="de-DE"/>
              </w:rPr>
              <w:t>Europa im späten Mittelalter. Politik – Gesellschaft – Kultur</w:t>
            </w:r>
            <w:r w:rsidRPr="005D241D">
              <w:rPr>
                <w:sz w:val="22"/>
                <w:szCs w:val="22"/>
                <w:lang w:val="lt-LT"/>
              </w:rPr>
              <w:t>,</w:t>
            </w:r>
            <w:r w:rsidRPr="005D241D">
              <w:rPr>
                <w:sz w:val="22"/>
                <w:szCs w:val="22"/>
                <w:lang w:val="de-DE"/>
              </w:rPr>
              <w:t xml:space="preserve"> </w:t>
            </w:r>
            <w:r w:rsidRPr="005D241D">
              <w:rPr>
                <w:sz w:val="22"/>
                <w:szCs w:val="22"/>
                <w:lang w:val="lt-LT"/>
              </w:rPr>
              <w:t>h</w:t>
            </w:r>
            <w:r w:rsidRPr="005D241D">
              <w:rPr>
                <w:sz w:val="22"/>
                <w:szCs w:val="22"/>
                <w:lang w:val="de-DE"/>
              </w:rPr>
              <w:t xml:space="preserve">rsg. von R. C. Schwinges, Ch. </w:t>
            </w:r>
            <w:r w:rsidRPr="005D241D">
              <w:rPr>
                <w:sz w:val="22"/>
                <w:szCs w:val="22"/>
              </w:rPr>
              <w:t xml:space="preserve">Hesse, P. </w:t>
            </w:r>
            <w:proofErr w:type="spellStart"/>
            <w:r w:rsidRPr="005D241D">
              <w:rPr>
                <w:sz w:val="22"/>
                <w:szCs w:val="22"/>
              </w:rPr>
              <w:t>Moraw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</w:t>
            </w:r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München</w:t>
            </w:r>
            <w:proofErr w:type="spellEnd"/>
            <w:r w:rsidRPr="005D241D">
              <w:rPr>
                <w:sz w:val="22"/>
                <w:szCs w:val="22"/>
              </w:rPr>
              <w:t>, 2006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Frost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Robert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Oxford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history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Poland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-Lithuania.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Vol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. 1: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Making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Polish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-Lithuanian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Union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1385-1569,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Oxford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2015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5D241D">
              <w:rPr>
                <w:sz w:val="22"/>
                <w:szCs w:val="22"/>
                <w:lang w:val="en-US"/>
              </w:rPr>
              <w:t>Gudavičius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Edvardas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Lietuvos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europėjimo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keliais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istorinės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en-US"/>
              </w:rPr>
              <w:t>studijos</w:t>
            </w:r>
            <w:proofErr w:type="spellEnd"/>
            <w:r w:rsidRPr="005D241D">
              <w:rPr>
                <w:sz w:val="22"/>
                <w:szCs w:val="22"/>
                <w:lang w:val="en-US"/>
              </w:rPr>
              <w:t xml:space="preserve">, Vilnius, 2002 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5D241D">
              <w:rPr>
                <w:sz w:val="22"/>
                <w:szCs w:val="22"/>
              </w:rPr>
              <w:t>Guenée</w:t>
            </w:r>
            <w:proofErr w:type="spellEnd"/>
            <w:r w:rsidRPr="005D241D">
              <w:rPr>
                <w:sz w:val="22"/>
                <w:szCs w:val="22"/>
              </w:rPr>
              <w:t xml:space="preserve"> Bernard,</w:t>
            </w:r>
            <w:r w:rsidRPr="005D241D">
              <w:rPr>
                <w:bCs/>
                <w:i/>
                <w:sz w:val="22"/>
                <w:szCs w:val="22"/>
              </w:rPr>
              <w:t xml:space="preserve"> </w:t>
            </w:r>
            <w:r w:rsidRPr="005D241D">
              <w:rPr>
                <w:bCs/>
                <w:sz w:val="22"/>
                <w:szCs w:val="22"/>
              </w:rPr>
              <w:t>States and Rulers in Later Medieval Europe</w:t>
            </w:r>
            <w:r w:rsidRPr="005D241D">
              <w:rPr>
                <w:sz w:val="22"/>
                <w:szCs w:val="22"/>
              </w:rPr>
              <w:t>, Oxford, 1985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5D241D">
              <w:rPr>
                <w:sz w:val="22"/>
                <w:szCs w:val="22"/>
              </w:rPr>
              <w:t>Lietuvos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valstybės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susikūrimas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europiniame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kontekste</w:t>
            </w:r>
            <w:proofErr w:type="spellEnd"/>
            <w:r w:rsidRPr="005D241D">
              <w:rPr>
                <w:sz w:val="22"/>
                <w:szCs w:val="22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</w:rPr>
              <w:t>sud</w:t>
            </w:r>
            <w:proofErr w:type="spellEnd"/>
            <w:r w:rsidRPr="005D241D">
              <w:rPr>
                <w:sz w:val="22"/>
                <w:szCs w:val="22"/>
              </w:rPr>
              <w:t>. R. Petrauskas, Vilnius, 2008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D241D">
              <w:rPr>
                <w:sz w:val="22"/>
                <w:szCs w:val="22"/>
                <w:lang w:val="pl-PL"/>
              </w:rPr>
              <w:t>Modernizacja struktur władzy w warunkach opóźnienia. Europa Środkowa i Wschodnia na przełomie średniowiecza i czasów nowożytnych</w:t>
            </w:r>
            <w:r w:rsidRPr="005D241D">
              <w:rPr>
                <w:sz w:val="22"/>
                <w:szCs w:val="22"/>
                <w:lang w:val="lt-LT"/>
              </w:rPr>
              <w:t>,</w:t>
            </w:r>
            <w:r w:rsidRPr="005D241D">
              <w:rPr>
                <w:sz w:val="22"/>
                <w:szCs w:val="22"/>
                <w:lang w:val="pl-PL"/>
              </w:rPr>
              <w:t xml:space="preserve"> </w:t>
            </w:r>
            <w:r w:rsidRPr="005D241D">
              <w:rPr>
                <w:sz w:val="22"/>
                <w:szCs w:val="22"/>
                <w:lang w:val="lt-LT"/>
              </w:rPr>
              <w:t>r</w:t>
            </w:r>
            <w:r w:rsidRPr="005D241D">
              <w:rPr>
                <w:sz w:val="22"/>
                <w:szCs w:val="22"/>
                <w:lang w:val="pl-PL"/>
              </w:rPr>
              <w:t xml:space="preserve">ed. </w:t>
            </w:r>
            <w:r w:rsidRPr="005D241D">
              <w:rPr>
                <w:sz w:val="22"/>
                <w:szCs w:val="22"/>
              </w:rPr>
              <w:t xml:space="preserve">M. </w:t>
            </w:r>
            <w:proofErr w:type="spellStart"/>
            <w:r w:rsidRPr="005D241D">
              <w:rPr>
                <w:sz w:val="22"/>
                <w:szCs w:val="22"/>
              </w:rPr>
              <w:t>Dygo</w:t>
            </w:r>
            <w:proofErr w:type="spellEnd"/>
            <w:r w:rsidRPr="005D241D">
              <w:rPr>
                <w:sz w:val="22"/>
                <w:szCs w:val="22"/>
              </w:rPr>
              <w:t xml:space="preserve">, S. </w:t>
            </w:r>
            <w:proofErr w:type="spellStart"/>
            <w:r w:rsidRPr="005D241D">
              <w:rPr>
                <w:sz w:val="22"/>
                <w:szCs w:val="22"/>
              </w:rPr>
              <w:t>Gawlas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</w:rPr>
              <w:t>i</w:t>
            </w:r>
            <w:proofErr w:type="spellEnd"/>
            <w:r w:rsidRPr="005D241D">
              <w:rPr>
                <w:sz w:val="22"/>
                <w:szCs w:val="22"/>
              </w:rPr>
              <w:t xml:space="preserve"> H. </w:t>
            </w:r>
            <w:proofErr w:type="spellStart"/>
            <w:r w:rsidRPr="005D241D">
              <w:rPr>
                <w:sz w:val="22"/>
                <w:szCs w:val="22"/>
              </w:rPr>
              <w:t>Grala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</w:t>
            </w:r>
            <w:r w:rsidRPr="005D241D">
              <w:rPr>
                <w:sz w:val="22"/>
                <w:szCs w:val="22"/>
              </w:rPr>
              <w:t xml:space="preserve"> Warszawa, 1999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Petrauskas Rimvydas, Lietuvos diduomenė XIV a. pabaigoje – XV a.: sudėtis–struktūra–valdžia, Vilnius, 2003 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Petrauskas Rimvydas, Lietuvos Didžioji Kunigaikštystė. Politika ir visuomenė vėlyvaisiais Viduramžiais, Vilnius, 2017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Rowell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Stephen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C., Iš viduramžių ūkų kylanti Lietuva. </w:t>
            </w:r>
            <w:r w:rsidRPr="005D241D">
              <w:rPr>
                <w:sz w:val="22"/>
                <w:szCs w:val="22"/>
                <w:lang w:val="it-IT"/>
              </w:rPr>
              <w:t xml:space="preserve">Pagonių imperija Rytų ir Vidurio Europoje, 1295-1345, Vilnius, 2001 </w:t>
            </w:r>
          </w:p>
          <w:p w:rsidR="00351B66" w:rsidRPr="005D241D" w:rsidRDefault="00351B66" w:rsidP="00351B66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r w:rsidRPr="005D241D">
              <w:rPr>
                <w:sz w:val="22"/>
                <w:szCs w:val="22"/>
                <w:lang w:val="de-DE"/>
              </w:rPr>
              <w:t>Schneidmüller Bernd, Grenzerfahrung und monarchische Ordnung. Europa 1200-1500, München, 2011</w:t>
            </w:r>
          </w:p>
          <w:p w:rsidR="00351B66" w:rsidRPr="005D241D" w:rsidRDefault="00351B66" w:rsidP="00835891">
            <w:pPr>
              <w:rPr>
                <w:sz w:val="22"/>
                <w:szCs w:val="22"/>
                <w:lang w:val="lt-LT"/>
              </w:rPr>
            </w:pPr>
          </w:p>
        </w:tc>
      </w:tr>
      <w:tr w:rsidR="00D83738" w:rsidRPr="005D241D" w:rsidTr="00232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5D241D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Supervising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5D241D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5D241D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5D241D">
              <w:rPr>
                <w:sz w:val="22"/>
                <w:szCs w:val="22"/>
                <w:lang w:val="lt-LT"/>
              </w:rPr>
              <w:t>surname</w:t>
            </w:r>
            <w:r w:rsidR="00B65DF1" w:rsidRPr="005D241D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5D241D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5D241D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5D241D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2322EA" w:rsidRPr="00B6003A" w:rsidTr="00232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2943" w:type="dxa"/>
            <w:tcBorders>
              <w:left w:val="single" w:sz="12" w:space="0" w:color="auto"/>
            </w:tcBorders>
          </w:tcPr>
          <w:p w:rsidR="002322EA" w:rsidRPr="005D241D" w:rsidRDefault="002322EA" w:rsidP="002322EA">
            <w:pPr>
              <w:rPr>
                <w:b/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Rimvydas Petrauskas</w:t>
            </w:r>
          </w:p>
          <w:p w:rsidR="002322EA" w:rsidRPr="005D241D" w:rsidRDefault="002322EA" w:rsidP="001D767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322EA" w:rsidRPr="005D241D" w:rsidRDefault="002322EA" w:rsidP="002322EA">
            <w:pPr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Dr.,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3" w:type="dxa"/>
            <w:tcBorders>
              <w:left w:val="single" w:sz="12" w:space="0" w:color="auto"/>
              <w:right w:val="single" w:sz="12" w:space="0" w:color="auto"/>
            </w:tcBorders>
          </w:tcPr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i/>
                <w:sz w:val="22"/>
                <w:szCs w:val="22"/>
                <w:lang w:val="lt-LT"/>
              </w:rPr>
              <w:t>Galia ir tradicija. Lietuvos Didžiosios Kunigaikštystės giminių istorijos</w:t>
            </w:r>
            <w:r w:rsidR="00B6003A">
              <w:rPr>
                <w:sz w:val="22"/>
                <w:szCs w:val="22"/>
                <w:lang w:val="lt-LT"/>
              </w:rPr>
              <w:t>.</w:t>
            </w:r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r w:rsidR="00B6003A">
              <w:rPr>
                <w:sz w:val="22"/>
                <w:szCs w:val="22"/>
                <w:lang w:val="lt-LT"/>
              </w:rPr>
              <w:t xml:space="preserve">Monografija, </w:t>
            </w:r>
            <w:r w:rsidRPr="005D241D">
              <w:rPr>
                <w:sz w:val="22"/>
                <w:szCs w:val="22"/>
                <w:lang w:val="lt-LT"/>
              </w:rPr>
              <w:t>Vilnius, 2016.</w:t>
            </w:r>
          </w:p>
          <w:p w:rsidR="002322EA" w:rsidRPr="005D241D" w:rsidRDefault="002322EA" w:rsidP="002322EA">
            <w:pPr>
              <w:jc w:val="both"/>
              <w:rPr>
                <w:i/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i/>
                <w:sz w:val="22"/>
                <w:szCs w:val="22"/>
                <w:lang w:val="lt-LT"/>
              </w:rPr>
              <w:t>Lietuvos Didžioji Kunigaikštystė. Politika ir visuomenė vėlyvaisiais Viduramžiais</w:t>
            </w:r>
            <w:r w:rsidR="00B6003A">
              <w:rPr>
                <w:sz w:val="22"/>
                <w:szCs w:val="22"/>
                <w:lang w:val="lt-LT"/>
              </w:rPr>
              <w:t>. Monografija,</w:t>
            </w:r>
            <w:bookmarkStart w:id="0" w:name="_GoBack"/>
            <w:bookmarkEnd w:id="0"/>
            <w:r w:rsidRPr="005D241D">
              <w:rPr>
                <w:sz w:val="22"/>
                <w:szCs w:val="22"/>
                <w:lang w:val="lt-LT"/>
              </w:rPr>
              <w:t xml:space="preserve"> Vilnius, 2017.</w:t>
            </w:r>
          </w:p>
          <w:p w:rsidR="002322EA" w:rsidRPr="005D241D" w:rsidRDefault="002322EA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Valdovo svainiai ir </w:t>
            </w:r>
            <w:r w:rsidRPr="005D241D">
              <w:rPr>
                <w:i/>
                <w:sz w:val="22"/>
                <w:szCs w:val="22"/>
                <w:lang w:val="lt-LT"/>
              </w:rPr>
              <w:t>satrapų</w:t>
            </w:r>
            <w:r w:rsidRPr="005D241D">
              <w:rPr>
                <w:sz w:val="22"/>
                <w:szCs w:val="22"/>
                <w:lang w:val="lt-LT"/>
              </w:rPr>
              <w:t xml:space="preserve"> palikuonys: Lietuvos diduomenė krikšto išvakarėse,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r w:rsidRPr="005D241D">
              <w:rPr>
                <w:i/>
                <w:sz w:val="22"/>
                <w:szCs w:val="22"/>
                <w:lang w:val="lt-LT"/>
              </w:rPr>
              <w:t>Lietuvos Didžiosios Kunigaikštystės istorijos atodangos. Profesoriaus Mečislovo Jučo 90-mečio jubiliejui skirtas straipsnių rinkinys</w:t>
            </w:r>
            <w:r w:rsidRPr="005D241D">
              <w:rPr>
                <w:sz w:val="22"/>
                <w:szCs w:val="22"/>
                <w:lang w:val="lt-LT"/>
              </w:rPr>
              <w:t xml:space="preserve">, sudarė Vydas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Dolinskas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Rimvydas Petrauskas, Edmundas Rimša, Vilnius, 2016, p. 131-141.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pl-PL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pl-PL"/>
              </w:rPr>
            </w:pPr>
            <w:r w:rsidRPr="005D241D">
              <w:rPr>
                <w:sz w:val="22"/>
                <w:szCs w:val="22"/>
                <w:lang w:val="pl-PL"/>
              </w:rPr>
              <w:t xml:space="preserve">Litwa Mendoga – Litwa Giedyminowiczów: drogi 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pl-PL"/>
              </w:rPr>
              <w:t xml:space="preserve">konsolidacji państwa i elity przywódczej, in: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Wokół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Wielkiego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Księstwa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Litewskiego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jego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tradycji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red.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Bernadetta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Manyś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Michał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Zwierzykowski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Poznań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2016, s. 11-20.</w:t>
            </w:r>
          </w:p>
          <w:p w:rsidR="002322EA" w:rsidRPr="005D241D" w:rsidRDefault="002322EA" w:rsidP="002322EA">
            <w:pPr>
              <w:pStyle w:val="Akapitzlist"/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Die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Außenwelt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Gediminiden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Formen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und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Möglichkeiten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internationaler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Politik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heidnischen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Großfürsten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Litauens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zweiten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Hälfte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14.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Jahrhunderts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Akteure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mittelalterlicher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Außenpolitik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Das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Beispiel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Ostmitteleuropas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hrsg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von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Stephan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Flemming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und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Norbert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Kersken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Marburg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2017, S. 53-67.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pl-PL"/>
              </w:rPr>
            </w:pPr>
            <w:r w:rsidRPr="005D241D">
              <w:rPr>
                <w:sz w:val="22"/>
                <w:szCs w:val="22"/>
                <w:lang w:val="pl-PL"/>
              </w:rPr>
              <w:t xml:space="preserve"> 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pl-PL"/>
              </w:rPr>
              <w:lastRenderedPageBreak/>
              <w:t xml:space="preserve">„Ojczyzna dzieci króla”: Wielkie Księstwo Litewskie w systemie władzy Jagiellonów w końcu XV – pierwszej połowie XVI wieku, in: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Jagiellonowie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ich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świat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Centrum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a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peryferie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w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systemie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władzy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Jagiellonów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red.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Bożeny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Czwojdrak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Jerzego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Sperki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Piotra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Węcowskiego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Kraków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2018, s. 113-123.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Albertas Radvila: pirmas didikas Vilniaus vyskupo soste,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r w:rsidRPr="005D241D">
              <w:rPr>
                <w:i/>
                <w:sz w:val="22"/>
                <w:szCs w:val="22"/>
                <w:lang w:val="lt-LT"/>
              </w:rPr>
              <w:t xml:space="preserve">Bažnyčios istorijos studijos, t. 9: Ganytojai ir broliai: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biografistikos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perspektyva</w:t>
            </w:r>
            <w:r w:rsidRPr="005D241D">
              <w:rPr>
                <w:sz w:val="22"/>
                <w:szCs w:val="22"/>
                <w:lang w:val="lt-LT"/>
              </w:rPr>
              <w:t xml:space="preserve">, Vilnius, 2018, p. 11-27. 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>Die „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Litauer-Reisen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zwischen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Krieg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und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Frieden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Das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Baltikum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Geschichte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einer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europäischen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Region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Bd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. 1: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Von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der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Vor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-und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Frühgeschichte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bis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zum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Ende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des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Mittelalters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hrsg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von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Karsten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Brüggeman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Detlef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Henning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Konrad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Maier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und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Ralph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Tuchtenhagen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Stuttgart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2018, S. 404-413.</w:t>
            </w:r>
          </w:p>
          <w:p w:rsidR="002322EA" w:rsidRPr="005D241D" w:rsidRDefault="002322EA" w:rsidP="002322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lang w:val="lt-LT"/>
              </w:rPr>
            </w:pPr>
          </w:p>
          <w:p w:rsidR="002322EA" w:rsidRPr="005D241D" w:rsidRDefault="002322EA" w:rsidP="002322E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D241D">
              <w:rPr>
                <w:rFonts w:ascii="Times New Roman" w:hAnsi="Times New Roman"/>
                <w:lang w:val="lt-LT"/>
              </w:rPr>
              <w:t>Fürsten</w:t>
            </w:r>
            <w:proofErr w:type="spellEnd"/>
            <w:r w:rsidRPr="005D241D">
              <w:rPr>
                <w:rFonts w:ascii="Times New Roman" w:hAnsi="Times New Roman"/>
              </w:rPr>
              <w:t xml:space="preserve"> und Grafen des Heiligen Römischen Reiches: die litauischen Hochadeligen und ihre römischen Titel im Kontext des Wiener Fürstentags, in: </w:t>
            </w:r>
            <w:r w:rsidRPr="005D241D">
              <w:rPr>
                <w:rFonts w:ascii="Times New Roman" w:hAnsi="Times New Roman"/>
                <w:i/>
              </w:rPr>
              <w:t>Das Wiener Fürstentreffen von 1515. Beiträge zur Geschichte der habsburgisch-jagiellonischen Doppelvermählung</w:t>
            </w:r>
            <w:r w:rsidRPr="005D241D">
              <w:rPr>
                <w:rFonts w:ascii="Times New Roman" w:hAnsi="Times New Roman"/>
              </w:rPr>
              <w:t xml:space="preserve">, hrsg. von Bogusław Dybaś und István Tringli, Budapest, 2019, S. 213-224. 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</w:rPr>
              <w:t xml:space="preserve">Noble Names: Changes in Lithuanian Aristocratic Name-Giving During the Late-Fourteenth and Fifteenth Centuries, in: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Social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Cultural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Relations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the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Grand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Duchy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of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Lithuania: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Microhistories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ed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Richard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Butterwick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and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Wioletta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Pawlikowska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New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York-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London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2019, p. 91-104.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lt-LT"/>
              </w:rPr>
              <w:t xml:space="preserve">Teodoro Narbuto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vytautinė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Lietuvos istorija,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r w:rsidRPr="005D241D">
              <w:rPr>
                <w:i/>
                <w:sz w:val="22"/>
                <w:szCs w:val="22"/>
                <w:lang w:val="lt-LT"/>
              </w:rPr>
              <w:t>Narbutas Teodoras, Lietuvių tautos istorija</w:t>
            </w:r>
            <w:r w:rsidRPr="005D241D">
              <w:rPr>
                <w:sz w:val="22"/>
                <w:szCs w:val="22"/>
                <w:lang w:val="lt-LT"/>
              </w:rPr>
              <w:t>, t. 6, Vilnius, Mintis, 2019, p. 7-33.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de-DE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  <w:lang w:val="de-DE"/>
              </w:rPr>
              <w:t xml:space="preserve">Palemon und die vier Sippen: die römische Abstammungstheorie der Litauer, in: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Abstammungsmythen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und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Völkergenealogien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im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frühneuzeitlichen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Ostseeraum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Studien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zur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Geschichte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der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Ostseeregion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Bd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>. 2)</w:t>
            </w:r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hrsg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von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Stefan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Donecker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Greifswald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2020, S. 195-209.</w:t>
            </w: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</w:p>
          <w:p w:rsidR="002322EA" w:rsidRPr="005D241D" w:rsidRDefault="002322EA" w:rsidP="002322EA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5D241D">
              <w:rPr>
                <w:sz w:val="22"/>
                <w:szCs w:val="22"/>
                <w:lang w:val="lt-LT"/>
              </w:rPr>
              <w:t>Geneza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początek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unii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polsko-litewskiej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czy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zmiana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paradygmatu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we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współczesnej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historiografii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?,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Unie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międzypaństwowe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–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parlamentaryzm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–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samorządność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Studia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z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dziejów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ustroju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Rzeczypospolitej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Obojga</w:t>
            </w:r>
            <w:proofErr w:type="spellEnd"/>
            <w:r w:rsidRPr="005D241D">
              <w:rPr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i/>
                <w:sz w:val="22"/>
                <w:szCs w:val="22"/>
                <w:lang w:val="lt-LT"/>
              </w:rPr>
              <w:t>Narodów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red.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Wacław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Uruszczak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Zdisław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Noga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Michał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lastRenderedPageBreak/>
              <w:t>Zwierzykowski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Krzysztof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Fokt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5D241D">
              <w:rPr>
                <w:sz w:val="22"/>
                <w:szCs w:val="22"/>
                <w:lang w:val="lt-LT"/>
              </w:rPr>
              <w:t>Warszawa</w:t>
            </w:r>
            <w:proofErr w:type="spellEnd"/>
            <w:r w:rsidRPr="005D241D">
              <w:rPr>
                <w:sz w:val="22"/>
                <w:szCs w:val="22"/>
                <w:lang w:val="lt-LT"/>
              </w:rPr>
              <w:t>, 2020, s. 132-146</w:t>
            </w:r>
          </w:p>
          <w:p w:rsidR="002322EA" w:rsidRPr="005D241D" w:rsidRDefault="002322EA" w:rsidP="007E46A5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A965CE" w:rsidRPr="005D241D" w:rsidTr="002322EA">
        <w:tc>
          <w:tcPr>
            <w:tcW w:w="9286" w:type="dxa"/>
            <w:gridSpan w:val="3"/>
          </w:tcPr>
          <w:p w:rsidR="009404F1" w:rsidRPr="005D241D" w:rsidRDefault="009404F1" w:rsidP="009404F1">
            <w:pPr>
              <w:pStyle w:val="TableParagraph"/>
              <w:ind w:right="163"/>
            </w:pPr>
            <w:proofErr w:type="spellStart"/>
            <w:r w:rsidRPr="005D241D">
              <w:lastRenderedPageBreak/>
              <w:t>Approved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by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the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Doctoral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Committee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of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History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and</w:t>
            </w:r>
            <w:proofErr w:type="spellEnd"/>
            <w:r w:rsidRPr="005D241D">
              <w:t xml:space="preserve"> </w:t>
            </w:r>
            <w:proofErr w:type="spellStart"/>
            <w:r w:rsidRPr="005D241D">
              <w:t>Archaeology</w:t>
            </w:r>
            <w:proofErr w:type="spellEnd"/>
            <w:r w:rsidRPr="005D241D">
              <w:t xml:space="preserve"> </w:t>
            </w:r>
          </w:p>
          <w:p w:rsidR="00A965CE" w:rsidRPr="005D241D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5D241D">
              <w:t xml:space="preserve">28 </w:t>
            </w:r>
            <w:proofErr w:type="spellStart"/>
            <w:r w:rsidRPr="005D241D">
              <w:t>September</w:t>
            </w:r>
            <w:proofErr w:type="spellEnd"/>
            <w:r w:rsidRPr="005D241D">
              <w:t xml:space="preserve"> 2021, </w:t>
            </w:r>
            <w:proofErr w:type="spellStart"/>
            <w:r w:rsidRPr="005D241D">
              <w:t>No</w:t>
            </w:r>
            <w:proofErr w:type="spellEnd"/>
            <w:r w:rsidRPr="005D241D">
              <w:t xml:space="preserve"> 170000-KT-47.</w:t>
            </w:r>
          </w:p>
        </w:tc>
      </w:tr>
      <w:tr w:rsidR="00A965CE" w:rsidRPr="005D241D" w:rsidTr="002322EA">
        <w:tc>
          <w:tcPr>
            <w:tcW w:w="9286" w:type="dxa"/>
            <w:gridSpan w:val="3"/>
          </w:tcPr>
          <w:p w:rsidR="00A965CE" w:rsidRPr="005D241D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5D241D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5D241D">
              <w:rPr>
                <w:sz w:val="22"/>
                <w:szCs w:val="22"/>
              </w:rPr>
              <w:t>habil</w:t>
            </w:r>
            <w:proofErr w:type="spellEnd"/>
            <w:r w:rsidRPr="005D241D">
              <w:rPr>
                <w:sz w:val="22"/>
                <w:szCs w:val="22"/>
              </w:rPr>
              <w:t>.</w:t>
            </w:r>
            <w:r w:rsidR="00862EAA" w:rsidRPr="005D241D">
              <w:rPr>
                <w:sz w:val="22"/>
                <w:szCs w:val="22"/>
              </w:rPr>
              <w:t xml:space="preserve"> </w:t>
            </w:r>
            <w:r w:rsidRPr="005D241D">
              <w:rPr>
                <w:sz w:val="22"/>
                <w:szCs w:val="22"/>
              </w:rPr>
              <w:t xml:space="preserve">dr. Tamara </w:t>
            </w:r>
            <w:proofErr w:type="spellStart"/>
            <w:r w:rsidRPr="005D241D">
              <w:rPr>
                <w:sz w:val="22"/>
                <w:szCs w:val="22"/>
              </w:rPr>
              <w:t>Bairašauskaitė</w:t>
            </w:r>
            <w:proofErr w:type="spellEnd"/>
            <w:r w:rsidRPr="005D241D">
              <w:rPr>
                <w:sz w:val="22"/>
                <w:szCs w:val="22"/>
              </w:rPr>
              <w:t xml:space="preserve"> </w:t>
            </w:r>
          </w:p>
        </w:tc>
      </w:tr>
    </w:tbl>
    <w:p w:rsidR="002D3C12" w:rsidRPr="001218B6" w:rsidRDefault="002D3C12" w:rsidP="00600C1B">
      <w:pPr>
        <w:rPr>
          <w:sz w:val="22"/>
          <w:szCs w:val="22"/>
          <w:lang w:val="lt-LT"/>
        </w:rPr>
      </w:pPr>
    </w:p>
    <w:sectPr w:rsidR="002D3C12" w:rsidRPr="001218B6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50CB"/>
    <w:multiLevelType w:val="hybridMultilevel"/>
    <w:tmpl w:val="6DE43094"/>
    <w:lvl w:ilvl="0" w:tplc="503228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27F73"/>
    <w:rsid w:val="000350FF"/>
    <w:rsid w:val="00037733"/>
    <w:rsid w:val="000F6CFD"/>
    <w:rsid w:val="001218B6"/>
    <w:rsid w:val="001727DA"/>
    <w:rsid w:val="00216D07"/>
    <w:rsid w:val="002322EA"/>
    <w:rsid w:val="00252CBA"/>
    <w:rsid w:val="002B09E9"/>
    <w:rsid w:val="002D3C12"/>
    <w:rsid w:val="002D7AD1"/>
    <w:rsid w:val="003171A5"/>
    <w:rsid w:val="0032414F"/>
    <w:rsid w:val="00351B66"/>
    <w:rsid w:val="0035258E"/>
    <w:rsid w:val="00354267"/>
    <w:rsid w:val="004B2BA4"/>
    <w:rsid w:val="005A243D"/>
    <w:rsid w:val="005A3568"/>
    <w:rsid w:val="005D241D"/>
    <w:rsid w:val="00600C1B"/>
    <w:rsid w:val="00654E78"/>
    <w:rsid w:val="00745232"/>
    <w:rsid w:val="00751832"/>
    <w:rsid w:val="007E5C78"/>
    <w:rsid w:val="00862EAA"/>
    <w:rsid w:val="00875171"/>
    <w:rsid w:val="00883F45"/>
    <w:rsid w:val="008D2ACD"/>
    <w:rsid w:val="009404F1"/>
    <w:rsid w:val="009708B7"/>
    <w:rsid w:val="009844CC"/>
    <w:rsid w:val="00A965CE"/>
    <w:rsid w:val="00B6003A"/>
    <w:rsid w:val="00B65DF1"/>
    <w:rsid w:val="00B72167"/>
    <w:rsid w:val="00BD5D39"/>
    <w:rsid w:val="00C309D5"/>
    <w:rsid w:val="00C31F08"/>
    <w:rsid w:val="00C743B6"/>
    <w:rsid w:val="00CA6702"/>
    <w:rsid w:val="00D00EBD"/>
    <w:rsid w:val="00D70EFD"/>
    <w:rsid w:val="00D83738"/>
    <w:rsid w:val="00ED2DF9"/>
    <w:rsid w:val="00F00A7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77A83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paragraph" w:customStyle="1" w:styleId="Akapitzlist">
    <w:name w:val="Akapit z listą"/>
    <w:basedOn w:val="Normal"/>
    <w:qFormat/>
    <w:rsid w:val="002322EA"/>
    <w:pPr>
      <w:ind w:left="720"/>
      <w:contextualSpacing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32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5348</Words>
  <Characters>3049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17</cp:revision>
  <cp:lastPrinted>2012-04-27T08:36:00Z</cp:lastPrinted>
  <dcterms:created xsi:type="dcterms:W3CDTF">2022-05-09T10:22:00Z</dcterms:created>
  <dcterms:modified xsi:type="dcterms:W3CDTF">2022-06-07T13:49:00Z</dcterms:modified>
</cp:coreProperties>
</file>