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12" w:rsidRPr="00016351" w:rsidRDefault="004B2BA4">
      <w:pPr>
        <w:tabs>
          <w:tab w:val="left" w:pos="1843"/>
        </w:tabs>
        <w:spacing w:after="120"/>
        <w:jc w:val="center"/>
        <w:rPr>
          <w:b/>
          <w:sz w:val="22"/>
          <w:szCs w:val="22"/>
          <w:lang w:val="lt-LT"/>
        </w:rPr>
      </w:pPr>
      <w:r w:rsidRPr="00016351">
        <w:rPr>
          <w:b/>
          <w:sz w:val="22"/>
          <w:szCs w:val="22"/>
          <w:lang w:val="lt-LT"/>
        </w:rPr>
        <w:t>DOCTORAL SUBJECT SUB-UNIT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984"/>
        <w:gridCol w:w="1843"/>
      </w:tblGrid>
      <w:tr w:rsidR="002D3C12" w:rsidRPr="00016351" w:rsidTr="00654E7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016351" w:rsidRDefault="007E5C78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Subject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name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016351" w:rsidRDefault="001727DA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Field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study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branch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code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016351" w:rsidRDefault="002D3C12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Fa</w:t>
            </w:r>
            <w:r w:rsidR="00C743B6" w:rsidRPr="00016351">
              <w:rPr>
                <w:sz w:val="22"/>
                <w:szCs w:val="22"/>
                <w:lang w:val="lt-LT"/>
              </w:rPr>
              <w:t>culty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016351" w:rsidRDefault="00C743B6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Department</w:t>
            </w:r>
            <w:proofErr w:type="spellEnd"/>
          </w:p>
        </w:tc>
      </w:tr>
      <w:tr w:rsidR="00654E78" w:rsidRPr="00016351" w:rsidTr="00654E7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7A0" w:rsidRPr="00016351" w:rsidRDefault="004F07A0" w:rsidP="004F07A0">
            <w:pPr>
              <w:pStyle w:val="TableParagraph"/>
              <w:spacing w:line="276" w:lineRule="auto"/>
              <w:ind w:right="175"/>
              <w:jc w:val="both"/>
              <w:rPr>
                <w:b/>
              </w:rPr>
            </w:pPr>
            <w:proofErr w:type="spellStart"/>
            <w:r w:rsidRPr="00016351">
              <w:rPr>
                <w:b/>
              </w:rPr>
              <w:t>Historical</w:t>
            </w:r>
            <w:proofErr w:type="spellEnd"/>
            <w:r w:rsidRPr="00016351">
              <w:rPr>
                <w:b/>
              </w:rPr>
              <w:t xml:space="preserve"> </w:t>
            </w:r>
            <w:proofErr w:type="spellStart"/>
            <w:r w:rsidRPr="00016351">
              <w:rPr>
                <w:b/>
              </w:rPr>
              <w:t>Regions</w:t>
            </w:r>
            <w:proofErr w:type="spellEnd"/>
            <w:r w:rsidRPr="00016351">
              <w:rPr>
                <w:b/>
              </w:rPr>
              <w:t xml:space="preserve"> </w:t>
            </w:r>
            <w:proofErr w:type="spellStart"/>
            <w:r w:rsidRPr="00016351">
              <w:rPr>
                <w:b/>
              </w:rPr>
              <w:t>of</w:t>
            </w:r>
            <w:proofErr w:type="spellEnd"/>
            <w:r w:rsidRPr="00016351">
              <w:rPr>
                <w:b/>
              </w:rPr>
              <w:t xml:space="preserve"> </w:t>
            </w:r>
            <w:proofErr w:type="spellStart"/>
            <w:r w:rsidRPr="00016351">
              <w:rPr>
                <w:b/>
              </w:rPr>
              <w:t>Europe</w:t>
            </w:r>
            <w:proofErr w:type="spellEnd"/>
            <w:r w:rsidRPr="00016351">
              <w:rPr>
                <w:b/>
              </w:rPr>
              <w:t xml:space="preserve"> </w:t>
            </w:r>
            <w:proofErr w:type="spellStart"/>
            <w:r w:rsidRPr="00016351">
              <w:rPr>
                <w:b/>
              </w:rPr>
              <w:t>and</w:t>
            </w:r>
            <w:proofErr w:type="spellEnd"/>
            <w:r w:rsidRPr="00016351">
              <w:rPr>
                <w:b/>
              </w:rPr>
              <w:t xml:space="preserve"> Lithuania</w:t>
            </w:r>
          </w:p>
          <w:p w:rsidR="00654E78" w:rsidRPr="00016351" w:rsidRDefault="00654E7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CFD" w:rsidRPr="00016351" w:rsidRDefault="000F6CFD" w:rsidP="000F6CFD">
            <w:pPr>
              <w:rPr>
                <w:sz w:val="22"/>
                <w:szCs w:val="22"/>
              </w:rPr>
            </w:pPr>
            <w:r w:rsidRPr="00016351">
              <w:rPr>
                <w:sz w:val="22"/>
                <w:szCs w:val="22"/>
              </w:rPr>
              <w:t xml:space="preserve">History and Archaeology </w:t>
            </w:r>
          </w:p>
          <w:p w:rsidR="00654E78" w:rsidRPr="00016351" w:rsidRDefault="000F6CFD" w:rsidP="000F6CFD">
            <w:pPr>
              <w:rPr>
                <w:sz w:val="22"/>
                <w:szCs w:val="22"/>
                <w:lang w:val="lt-LT"/>
              </w:rPr>
            </w:pPr>
            <w:r w:rsidRPr="00016351">
              <w:rPr>
                <w:sz w:val="22"/>
                <w:szCs w:val="22"/>
              </w:rPr>
              <w:t>H 005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016351" w:rsidRDefault="000F6CFD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Faculty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History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016351" w:rsidRDefault="000F6CFD" w:rsidP="00B2084A">
            <w:pPr>
              <w:rPr>
                <w:sz w:val="22"/>
                <w:szCs w:val="22"/>
                <w:lang w:val="lt-LT"/>
              </w:rPr>
            </w:pPr>
            <w:r w:rsidRPr="00016351">
              <w:rPr>
                <w:sz w:val="22"/>
                <w:szCs w:val="22"/>
              </w:rPr>
              <w:t>Department of</w:t>
            </w:r>
            <w:r w:rsidR="004F07A0" w:rsidRPr="00016351">
              <w:rPr>
                <w:sz w:val="22"/>
                <w:szCs w:val="22"/>
              </w:rPr>
              <w:t xml:space="preserve"> </w:t>
            </w:r>
            <w:r w:rsidR="00B2084A" w:rsidRPr="00016351">
              <w:rPr>
                <w:sz w:val="22"/>
                <w:szCs w:val="22"/>
              </w:rPr>
              <w:t>Theory of History and History of Culture</w:t>
            </w:r>
          </w:p>
        </w:tc>
      </w:tr>
      <w:tr w:rsidR="00654E78" w:rsidRPr="00016351" w:rsidTr="00654E78">
        <w:tc>
          <w:tcPr>
            <w:tcW w:w="9322" w:type="dxa"/>
            <w:gridSpan w:val="4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654E78" w:rsidRPr="00016351" w:rsidRDefault="00654E78">
            <w:pPr>
              <w:rPr>
                <w:sz w:val="22"/>
                <w:szCs w:val="22"/>
                <w:lang w:val="lt-LT"/>
              </w:rPr>
            </w:pPr>
          </w:p>
        </w:tc>
      </w:tr>
      <w:tr w:rsidR="002D3C12" w:rsidRPr="00016351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016351" w:rsidRDefault="00037733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Mode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study</w:t>
            </w:r>
            <w:proofErr w:type="spellEnd"/>
          </w:p>
        </w:tc>
        <w:tc>
          <w:tcPr>
            <w:tcW w:w="1985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9844CC" w:rsidRPr="00016351" w:rsidRDefault="00D70EFD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Number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credits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r w:rsidR="009844CC" w:rsidRPr="00016351">
              <w:rPr>
                <w:sz w:val="22"/>
                <w:szCs w:val="22"/>
                <w:lang w:val="lt-LT"/>
              </w:rPr>
              <w:t>ECTS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016351" w:rsidRDefault="000F6CFD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Mode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study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9708B7" w:rsidRPr="00016351" w:rsidRDefault="00252CBA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Number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credits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r w:rsidR="009708B7" w:rsidRPr="00016351">
              <w:rPr>
                <w:sz w:val="22"/>
                <w:szCs w:val="22"/>
                <w:lang w:val="lt-LT"/>
              </w:rPr>
              <w:t>ECTS</w:t>
            </w:r>
          </w:p>
        </w:tc>
      </w:tr>
      <w:tr w:rsidR="002D3C12" w:rsidRPr="00016351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016351" w:rsidRDefault="0035258E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lectures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016351" w:rsidRDefault="002D3C1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016351" w:rsidRDefault="0035258E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consultations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016351" w:rsidRDefault="00121E67" w:rsidP="00121E67">
            <w:pPr>
              <w:jc w:val="center"/>
              <w:rPr>
                <w:sz w:val="22"/>
                <w:szCs w:val="22"/>
                <w:lang w:val="lt-LT"/>
              </w:rPr>
            </w:pPr>
            <w:r w:rsidRPr="00016351">
              <w:rPr>
                <w:sz w:val="22"/>
                <w:szCs w:val="22"/>
                <w:lang w:val="lt-LT"/>
              </w:rPr>
              <w:t>2</w:t>
            </w:r>
          </w:p>
        </w:tc>
      </w:tr>
      <w:tr w:rsidR="002D3C12" w:rsidRPr="00016351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016351" w:rsidRDefault="00CA6702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individual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016351" w:rsidRDefault="00121E67" w:rsidP="00121E67">
            <w:pPr>
              <w:jc w:val="center"/>
              <w:rPr>
                <w:sz w:val="22"/>
                <w:szCs w:val="22"/>
                <w:lang w:val="lt-LT"/>
              </w:rPr>
            </w:pPr>
            <w:r w:rsidRPr="00016351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016351" w:rsidRDefault="002D3C12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semina</w:t>
            </w:r>
            <w:r w:rsidR="00CA6702" w:rsidRPr="00016351">
              <w:rPr>
                <w:sz w:val="22"/>
                <w:szCs w:val="22"/>
                <w:lang w:val="lt-LT"/>
              </w:rPr>
              <w:t>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016351" w:rsidRDefault="00121E67" w:rsidP="00121E67">
            <w:pPr>
              <w:jc w:val="center"/>
              <w:rPr>
                <w:sz w:val="22"/>
                <w:szCs w:val="22"/>
                <w:lang w:val="lt-LT"/>
              </w:rPr>
            </w:pPr>
            <w:r w:rsidRPr="00016351">
              <w:rPr>
                <w:sz w:val="22"/>
                <w:szCs w:val="22"/>
                <w:lang w:val="lt-LT"/>
              </w:rPr>
              <w:t>2,5</w:t>
            </w:r>
          </w:p>
        </w:tc>
      </w:tr>
    </w:tbl>
    <w:p w:rsidR="002D3C12" w:rsidRPr="00016351" w:rsidRDefault="00F76EBE">
      <w:pPr>
        <w:rPr>
          <w:sz w:val="22"/>
          <w:szCs w:val="22"/>
          <w:lang w:val="lt-LT"/>
        </w:rPr>
      </w:pPr>
      <w:r w:rsidRPr="00016351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</w:t>
      </w:r>
      <w:proofErr w:type="gramStart"/>
      <w:r w:rsidR="005A3568" w:rsidRPr="00016351">
        <w:rPr>
          <w:b/>
          <w:bCs/>
          <w:sz w:val="22"/>
          <w:szCs w:val="22"/>
        </w:rPr>
        <w:t>Total  7</w:t>
      </w:r>
      <w:proofErr w:type="gramEnd"/>
      <w:r w:rsidR="005A3568" w:rsidRPr="00016351">
        <w:rPr>
          <w:b/>
          <w:bCs/>
          <w:sz w:val="22"/>
          <w:szCs w:val="22"/>
        </w:rPr>
        <w:t>,5</w:t>
      </w:r>
      <w:r w:rsidRPr="00016351">
        <w:rPr>
          <w:sz w:val="22"/>
          <w:szCs w:val="22"/>
          <w:lang w:val="lt-LT"/>
        </w:rPr>
        <w:t xml:space="preserve">                                                      </w:t>
      </w:r>
    </w:p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4643"/>
      </w:tblGrid>
      <w:tr w:rsidR="002D3C12" w:rsidRPr="00016351" w:rsidTr="00924E97">
        <w:tc>
          <w:tcPr>
            <w:tcW w:w="928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C12" w:rsidRPr="00016351" w:rsidRDefault="00354267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Subject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annotation</w:t>
            </w:r>
            <w:proofErr w:type="spellEnd"/>
          </w:p>
        </w:tc>
      </w:tr>
      <w:tr w:rsidR="002D3C12" w:rsidRPr="00016351" w:rsidTr="00924E97">
        <w:tc>
          <w:tcPr>
            <w:tcW w:w="9287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44462B" w:rsidRPr="00016351" w:rsidRDefault="0044462B" w:rsidP="0044462B">
            <w:pPr>
              <w:pStyle w:val="TableParagraph"/>
              <w:spacing w:line="276" w:lineRule="auto"/>
              <w:ind w:right="175"/>
              <w:jc w:val="both"/>
              <w:rPr>
                <w:bCs/>
              </w:rPr>
            </w:pPr>
            <w:proofErr w:type="spellStart"/>
            <w:r w:rsidRPr="00016351">
              <w:rPr>
                <w:bCs/>
                <w:i/>
                <w:iCs/>
              </w:rPr>
              <w:t>Historical</w:t>
            </w:r>
            <w:proofErr w:type="spellEnd"/>
            <w:r w:rsidRPr="00016351">
              <w:rPr>
                <w:bCs/>
                <w:i/>
                <w:iCs/>
              </w:rPr>
              <w:t xml:space="preserve"> </w:t>
            </w:r>
            <w:proofErr w:type="spellStart"/>
            <w:r w:rsidRPr="00016351">
              <w:rPr>
                <w:bCs/>
                <w:i/>
                <w:iCs/>
              </w:rPr>
              <w:t>Regions</w:t>
            </w:r>
            <w:proofErr w:type="spellEnd"/>
            <w:r w:rsidRPr="00016351">
              <w:rPr>
                <w:bCs/>
                <w:i/>
                <w:iCs/>
              </w:rPr>
              <w:t xml:space="preserve"> </w:t>
            </w:r>
            <w:proofErr w:type="spellStart"/>
            <w:r w:rsidRPr="00016351">
              <w:rPr>
                <w:bCs/>
                <w:i/>
                <w:iCs/>
              </w:rPr>
              <w:t>of</w:t>
            </w:r>
            <w:proofErr w:type="spellEnd"/>
            <w:r w:rsidRPr="00016351">
              <w:rPr>
                <w:bCs/>
                <w:i/>
                <w:iCs/>
              </w:rPr>
              <w:t xml:space="preserve"> </w:t>
            </w:r>
            <w:proofErr w:type="spellStart"/>
            <w:r w:rsidRPr="00016351">
              <w:rPr>
                <w:bCs/>
                <w:i/>
                <w:iCs/>
              </w:rPr>
              <w:t>Europe</w:t>
            </w:r>
            <w:proofErr w:type="spellEnd"/>
            <w:r w:rsidRPr="00016351">
              <w:rPr>
                <w:bCs/>
                <w:i/>
                <w:iCs/>
              </w:rPr>
              <w:t xml:space="preserve"> </w:t>
            </w:r>
            <w:proofErr w:type="spellStart"/>
            <w:r w:rsidRPr="00016351">
              <w:rPr>
                <w:bCs/>
                <w:i/>
                <w:iCs/>
              </w:rPr>
              <w:t>and</w:t>
            </w:r>
            <w:proofErr w:type="spellEnd"/>
            <w:r w:rsidRPr="00016351">
              <w:rPr>
                <w:bCs/>
                <w:i/>
                <w:iCs/>
              </w:rPr>
              <w:t xml:space="preserve"> Lithuania</w:t>
            </w:r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course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introduces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classical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contemporary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concepts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European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regional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studies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analyses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perspectives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regional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studies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in</w:t>
            </w:r>
            <w:proofErr w:type="spellEnd"/>
            <w:r w:rsidRPr="00016351">
              <w:rPr>
                <w:bCs/>
              </w:rPr>
              <w:t xml:space="preserve"> Lithuanian </w:t>
            </w:r>
            <w:proofErr w:type="spellStart"/>
            <w:r w:rsidRPr="00016351">
              <w:rPr>
                <w:bCs/>
              </w:rPr>
              <w:t>historiography</w:t>
            </w:r>
            <w:proofErr w:type="spellEnd"/>
            <w:r w:rsidRPr="00016351">
              <w:rPr>
                <w:bCs/>
              </w:rPr>
              <w:t xml:space="preserve">. A </w:t>
            </w:r>
            <w:proofErr w:type="spellStart"/>
            <w:r w:rsidRPr="00016351">
              <w:rPr>
                <w:bCs/>
              </w:rPr>
              <w:t>regional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research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approach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based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on</w:t>
            </w:r>
            <w:proofErr w:type="spellEnd"/>
            <w:r w:rsidRPr="00016351">
              <w:rPr>
                <w:bCs/>
              </w:rPr>
              <w:t xml:space="preserve"> a </w:t>
            </w:r>
            <w:proofErr w:type="spellStart"/>
            <w:r w:rsidRPr="00016351">
              <w:rPr>
                <w:bCs/>
              </w:rPr>
              <w:t>comparative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research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method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could</w:t>
            </w:r>
            <w:proofErr w:type="spellEnd"/>
            <w:r w:rsidRPr="00016351">
              <w:rPr>
                <w:bCs/>
              </w:rPr>
              <w:t xml:space="preserve">, </w:t>
            </w:r>
            <w:proofErr w:type="spellStart"/>
            <w:r w:rsidRPr="00016351">
              <w:rPr>
                <w:bCs/>
              </w:rPr>
              <w:t>on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one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hand</w:t>
            </w:r>
            <w:proofErr w:type="spellEnd"/>
            <w:r w:rsidRPr="00016351">
              <w:rPr>
                <w:bCs/>
              </w:rPr>
              <w:t xml:space="preserve">, </w:t>
            </w:r>
            <w:proofErr w:type="spellStart"/>
            <w:r w:rsidRPr="00016351">
              <w:rPr>
                <w:bCs/>
              </w:rPr>
              <w:t>provide</w:t>
            </w:r>
            <w:proofErr w:type="spellEnd"/>
            <w:r w:rsidRPr="00016351">
              <w:rPr>
                <w:bCs/>
              </w:rPr>
              <w:t xml:space="preserve"> a </w:t>
            </w:r>
            <w:proofErr w:type="spellStart"/>
            <w:r w:rsidRPr="00016351">
              <w:rPr>
                <w:bCs/>
              </w:rPr>
              <w:t>more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integral</w:t>
            </w:r>
            <w:proofErr w:type="spellEnd"/>
            <w:r w:rsidRPr="00016351">
              <w:rPr>
                <w:bCs/>
              </w:rPr>
              <w:t xml:space="preserve"> (</w:t>
            </w:r>
            <w:proofErr w:type="spellStart"/>
            <w:r w:rsidRPr="00016351">
              <w:rPr>
                <w:bCs/>
              </w:rPr>
              <w:t>in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sense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context</w:t>
            </w:r>
            <w:proofErr w:type="spellEnd"/>
            <w:r w:rsidRPr="00016351">
              <w:rPr>
                <w:bCs/>
              </w:rPr>
              <w:t xml:space="preserve">) </w:t>
            </w:r>
            <w:proofErr w:type="spellStart"/>
            <w:r w:rsidRPr="00016351">
              <w:rPr>
                <w:bCs/>
              </w:rPr>
              <w:t>view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Lithuanian </w:t>
            </w:r>
            <w:proofErr w:type="spellStart"/>
            <w:r w:rsidRPr="00016351">
              <w:rPr>
                <w:bCs/>
              </w:rPr>
              <w:t>history</w:t>
            </w:r>
            <w:proofErr w:type="spellEnd"/>
            <w:r w:rsidRPr="00016351">
              <w:rPr>
                <w:bCs/>
              </w:rPr>
              <w:t xml:space="preserve">, </w:t>
            </w:r>
            <w:proofErr w:type="spellStart"/>
            <w:r w:rsidRPr="00016351">
              <w:rPr>
                <w:bCs/>
              </w:rPr>
              <w:t>and</w:t>
            </w:r>
            <w:proofErr w:type="spellEnd"/>
            <w:r w:rsidRPr="00016351">
              <w:rPr>
                <w:bCs/>
              </w:rPr>
              <w:t xml:space="preserve">, </w:t>
            </w:r>
            <w:proofErr w:type="spellStart"/>
            <w:r w:rsidRPr="00016351">
              <w:rPr>
                <w:bCs/>
              </w:rPr>
              <w:t>on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other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hand</w:t>
            </w:r>
            <w:proofErr w:type="spellEnd"/>
            <w:r w:rsidRPr="00016351">
              <w:rPr>
                <w:bCs/>
              </w:rPr>
              <w:t xml:space="preserve">, </w:t>
            </w:r>
            <w:proofErr w:type="spellStart"/>
            <w:r w:rsidRPr="00016351">
              <w:rPr>
                <w:bCs/>
              </w:rPr>
              <w:t>would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help</w:t>
            </w:r>
            <w:proofErr w:type="spellEnd"/>
            <w:r w:rsidRPr="00016351">
              <w:rPr>
                <w:bCs/>
              </w:rPr>
              <w:t xml:space="preserve"> to </w:t>
            </w:r>
            <w:proofErr w:type="spellStart"/>
            <w:r w:rsidRPr="00016351">
              <w:rPr>
                <w:bCs/>
              </w:rPr>
              <w:t>renew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historiography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itself</w:t>
            </w:r>
            <w:proofErr w:type="spellEnd"/>
            <w:r w:rsidRPr="00016351">
              <w:rPr>
                <w:bCs/>
              </w:rPr>
              <w:t xml:space="preserve">, </w:t>
            </w:r>
            <w:proofErr w:type="spellStart"/>
            <w:r w:rsidRPr="00016351">
              <w:rPr>
                <w:bCs/>
              </w:rPr>
              <w:t>allowing</w:t>
            </w:r>
            <w:proofErr w:type="spellEnd"/>
            <w:r w:rsidRPr="00016351">
              <w:rPr>
                <w:bCs/>
              </w:rPr>
              <w:t xml:space="preserve"> it to </w:t>
            </w:r>
            <w:proofErr w:type="spellStart"/>
            <w:r w:rsidRPr="00016351">
              <w:rPr>
                <w:bCs/>
              </w:rPr>
              <w:t>go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beyond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format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national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research</w:t>
            </w:r>
            <w:proofErr w:type="spellEnd"/>
            <w:r w:rsidRPr="00016351">
              <w:rPr>
                <w:bCs/>
              </w:rPr>
              <w:t xml:space="preserve">.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course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discusses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key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concepts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theories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used</w:t>
            </w:r>
            <w:proofErr w:type="spellEnd"/>
            <w:r w:rsidRPr="00016351">
              <w:rPr>
                <w:bCs/>
              </w:rPr>
              <w:t xml:space="preserve"> to </w:t>
            </w:r>
            <w:proofErr w:type="spellStart"/>
            <w:r w:rsidRPr="00016351">
              <w:rPr>
                <w:bCs/>
              </w:rPr>
              <w:t>construct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spatial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temporal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models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European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regions</w:t>
            </w:r>
            <w:proofErr w:type="spellEnd"/>
            <w:r w:rsidRPr="00016351">
              <w:rPr>
                <w:bCs/>
              </w:rPr>
              <w:t xml:space="preserve">. </w:t>
            </w:r>
            <w:proofErr w:type="spellStart"/>
            <w:r w:rsidRPr="00016351">
              <w:rPr>
                <w:bCs/>
              </w:rPr>
              <w:t>Among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European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regions</w:t>
            </w:r>
            <w:proofErr w:type="spellEnd"/>
            <w:r w:rsidRPr="00016351">
              <w:rPr>
                <w:bCs/>
              </w:rPr>
              <w:t xml:space="preserve">,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focus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concepts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Central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Europe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as</w:t>
            </w:r>
            <w:proofErr w:type="spellEnd"/>
            <w:r w:rsidRPr="00016351">
              <w:rPr>
                <w:bCs/>
              </w:rPr>
              <w:t xml:space="preserve"> a </w:t>
            </w:r>
            <w:proofErr w:type="spellStart"/>
            <w:r w:rsidRPr="00016351">
              <w:rPr>
                <w:bCs/>
              </w:rPr>
              <w:t>peripheral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part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Western </w:t>
            </w:r>
            <w:proofErr w:type="spellStart"/>
            <w:r w:rsidRPr="00016351">
              <w:rPr>
                <w:bCs/>
              </w:rPr>
              <w:t>Europe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its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eastern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part</w:t>
            </w:r>
            <w:proofErr w:type="spellEnd"/>
            <w:r w:rsidRPr="00016351">
              <w:rPr>
                <w:bCs/>
              </w:rPr>
              <w:t xml:space="preserve"> (</w:t>
            </w:r>
            <w:proofErr w:type="spellStart"/>
            <w:r w:rsidRPr="00016351">
              <w:rPr>
                <w:bCs/>
              </w:rPr>
              <w:t>Central</w:t>
            </w:r>
            <w:proofErr w:type="spellEnd"/>
            <w:r w:rsidRPr="00016351">
              <w:rPr>
                <w:bCs/>
              </w:rPr>
              <w:t xml:space="preserve"> Eastern </w:t>
            </w:r>
            <w:proofErr w:type="spellStart"/>
            <w:r w:rsidRPr="00016351">
              <w:rPr>
                <w:bCs/>
              </w:rPr>
              <w:t>Europe</w:t>
            </w:r>
            <w:proofErr w:type="spellEnd"/>
            <w:r w:rsidRPr="00016351">
              <w:rPr>
                <w:bCs/>
              </w:rPr>
              <w:t xml:space="preserve">). </w:t>
            </w:r>
            <w:proofErr w:type="spellStart"/>
            <w:r w:rsidRPr="00016351">
              <w:rPr>
                <w:bCs/>
              </w:rPr>
              <w:t>In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this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context</w:t>
            </w:r>
            <w:proofErr w:type="spellEnd"/>
            <w:r w:rsidRPr="00016351">
              <w:rPr>
                <w:bCs/>
              </w:rPr>
              <w:t xml:space="preserve">, </w:t>
            </w:r>
            <w:proofErr w:type="spellStart"/>
            <w:r w:rsidRPr="00016351">
              <w:rPr>
                <w:bCs/>
              </w:rPr>
              <w:t>Lithuania's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search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for</w:t>
            </w:r>
            <w:proofErr w:type="spellEnd"/>
            <w:r w:rsidRPr="00016351">
              <w:rPr>
                <w:bCs/>
              </w:rPr>
              <w:t xml:space="preserve"> a </w:t>
            </w:r>
            <w:proofErr w:type="spellStart"/>
            <w:r w:rsidRPr="00016351">
              <w:rPr>
                <w:bCs/>
              </w:rPr>
              <w:t>regional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identity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is</w:t>
            </w:r>
            <w:proofErr w:type="spellEnd"/>
            <w:r w:rsidRPr="00016351">
              <w:rPr>
                <w:bCs/>
              </w:rPr>
              <w:t xml:space="preserve"> also </w:t>
            </w:r>
            <w:proofErr w:type="spellStart"/>
            <w:r w:rsidRPr="00016351">
              <w:rPr>
                <w:bCs/>
              </w:rPr>
              <w:t>analyzed</w:t>
            </w:r>
            <w:proofErr w:type="spellEnd"/>
            <w:r w:rsidRPr="00016351">
              <w:rPr>
                <w:bCs/>
              </w:rPr>
              <w:t xml:space="preserve">.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specificity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Lithuania </w:t>
            </w:r>
            <w:proofErr w:type="spellStart"/>
            <w:r w:rsidRPr="00016351">
              <w:rPr>
                <w:bCs/>
              </w:rPr>
              <w:t>is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explained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by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its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peripheral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position</w:t>
            </w:r>
            <w:proofErr w:type="spellEnd"/>
            <w:r w:rsidRPr="00016351">
              <w:rPr>
                <w:bCs/>
              </w:rPr>
              <w:t xml:space="preserve">. </w:t>
            </w:r>
            <w:proofErr w:type="spellStart"/>
            <w:r w:rsidRPr="00016351">
              <w:rPr>
                <w:bCs/>
              </w:rPr>
              <w:t>Research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historical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regions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Europe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is</w:t>
            </w:r>
            <w:proofErr w:type="spellEnd"/>
            <w:r w:rsidRPr="00016351">
              <w:rPr>
                <w:bCs/>
              </w:rPr>
              <w:t xml:space="preserve"> a </w:t>
            </w:r>
            <w:proofErr w:type="spellStart"/>
            <w:r w:rsidRPr="00016351">
              <w:rPr>
                <w:bCs/>
              </w:rPr>
              <w:t>fertile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area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for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interdisciplinary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dialogue</w:t>
            </w:r>
            <w:proofErr w:type="spellEnd"/>
            <w:r w:rsidRPr="00016351">
              <w:rPr>
                <w:bCs/>
              </w:rPr>
              <w:t xml:space="preserve">, </w:t>
            </w:r>
            <w:proofErr w:type="spellStart"/>
            <w:r w:rsidRPr="00016351">
              <w:rPr>
                <w:bCs/>
              </w:rPr>
              <w:t>which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could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become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another</w:t>
            </w:r>
            <w:proofErr w:type="spellEnd"/>
            <w:r w:rsidRPr="00016351">
              <w:rPr>
                <w:bCs/>
              </w:rPr>
              <w:t xml:space="preserve"> impulse </w:t>
            </w:r>
            <w:proofErr w:type="spellStart"/>
            <w:r w:rsidRPr="00016351">
              <w:rPr>
                <w:bCs/>
              </w:rPr>
              <w:t>for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methodological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thematic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renewal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Lithuanian </w:t>
            </w:r>
            <w:proofErr w:type="spellStart"/>
            <w:r w:rsidRPr="00016351">
              <w:rPr>
                <w:bCs/>
              </w:rPr>
              <w:t>historiography</w:t>
            </w:r>
            <w:proofErr w:type="spellEnd"/>
            <w:r w:rsidRPr="00016351">
              <w:rPr>
                <w:bCs/>
              </w:rPr>
              <w:t>.</w:t>
            </w:r>
          </w:p>
          <w:p w:rsidR="0044462B" w:rsidRPr="00016351" w:rsidRDefault="0044462B" w:rsidP="0044462B">
            <w:pPr>
              <w:pStyle w:val="TableParagraph"/>
              <w:spacing w:line="276" w:lineRule="auto"/>
              <w:ind w:right="175"/>
              <w:jc w:val="both"/>
              <w:rPr>
                <w:bCs/>
              </w:rPr>
            </w:pP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course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discusses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key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concepts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theories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used</w:t>
            </w:r>
            <w:proofErr w:type="spellEnd"/>
            <w:r w:rsidRPr="00016351">
              <w:rPr>
                <w:bCs/>
              </w:rPr>
              <w:t xml:space="preserve"> to </w:t>
            </w:r>
            <w:proofErr w:type="spellStart"/>
            <w:r w:rsidRPr="00016351">
              <w:rPr>
                <w:bCs/>
              </w:rPr>
              <w:t>construct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spatial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temporal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models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European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regions</w:t>
            </w:r>
            <w:proofErr w:type="spellEnd"/>
            <w:r w:rsidRPr="00016351">
              <w:rPr>
                <w:bCs/>
              </w:rPr>
              <w:t xml:space="preserve">. </w:t>
            </w:r>
            <w:proofErr w:type="spellStart"/>
            <w:r w:rsidRPr="00016351">
              <w:rPr>
                <w:bCs/>
              </w:rPr>
              <w:t>Among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European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regions</w:t>
            </w:r>
            <w:proofErr w:type="spellEnd"/>
            <w:r w:rsidRPr="00016351">
              <w:rPr>
                <w:bCs/>
              </w:rPr>
              <w:t xml:space="preserve">,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focus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concepts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Central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Europe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as</w:t>
            </w:r>
            <w:proofErr w:type="spellEnd"/>
            <w:r w:rsidRPr="00016351">
              <w:rPr>
                <w:bCs/>
              </w:rPr>
              <w:t xml:space="preserve"> a </w:t>
            </w:r>
            <w:proofErr w:type="spellStart"/>
            <w:r w:rsidRPr="00016351">
              <w:rPr>
                <w:bCs/>
              </w:rPr>
              <w:t>peripheral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part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Western </w:t>
            </w:r>
            <w:proofErr w:type="spellStart"/>
            <w:r w:rsidRPr="00016351">
              <w:rPr>
                <w:bCs/>
              </w:rPr>
              <w:t>Europe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its</w:t>
            </w:r>
            <w:proofErr w:type="spellEnd"/>
            <w:r w:rsidRPr="00016351">
              <w:rPr>
                <w:bCs/>
              </w:rPr>
              <w:t xml:space="preserve"> Eastern </w:t>
            </w:r>
            <w:proofErr w:type="spellStart"/>
            <w:r w:rsidRPr="00016351">
              <w:rPr>
                <w:bCs/>
              </w:rPr>
              <w:t>part</w:t>
            </w:r>
            <w:proofErr w:type="spellEnd"/>
            <w:r w:rsidRPr="00016351">
              <w:rPr>
                <w:bCs/>
              </w:rPr>
              <w:t xml:space="preserve"> (</w:t>
            </w:r>
            <w:proofErr w:type="spellStart"/>
            <w:r w:rsidRPr="00016351">
              <w:rPr>
                <w:bCs/>
              </w:rPr>
              <w:t>Central</w:t>
            </w:r>
            <w:proofErr w:type="spellEnd"/>
            <w:r w:rsidRPr="00016351">
              <w:rPr>
                <w:bCs/>
              </w:rPr>
              <w:t xml:space="preserve"> Eastern </w:t>
            </w:r>
            <w:proofErr w:type="spellStart"/>
            <w:r w:rsidRPr="00016351">
              <w:rPr>
                <w:bCs/>
              </w:rPr>
              <w:t>Europe</w:t>
            </w:r>
            <w:proofErr w:type="spellEnd"/>
            <w:r w:rsidRPr="00016351">
              <w:rPr>
                <w:bCs/>
              </w:rPr>
              <w:t xml:space="preserve">). </w:t>
            </w:r>
            <w:proofErr w:type="spellStart"/>
            <w:r w:rsidRPr="00016351">
              <w:rPr>
                <w:bCs/>
              </w:rPr>
              <w:t>In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this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context</w:t>
            </w:r>
            <w:proofErr w:type="spellEnd"/>
            <w:r w:rsidRPr="00016351">
              <w:rPr>
                <w:bCs/>
              </w:rPr>
              <w:t xml:space="preserve">,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course</w:t>
            </w:r>
            <w:proofErr w:type="spellEnd"/>
            <w:r w:rsidRPr="00016351">
              <w:rPr>
                <w:bCs/>
              </w:rPr>
              <w:t xml:space="preserve"> also </w:t>
            </w:r>
            <w:proofErr w:type="spellStart"/>
            <w:r w:rsidRPr="00016351">
              <w:rPr>
                <w:bCs/>
              </w:rPr>
              <w:t>discusses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Lithuania's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search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for</w:t>
            </w:r>
            <w:proofErr w:type="spellEnd"/>
            <w:r w:rsidRPr="00016351">
              <w:rPr>
                <w:bCs/>
              </w:rPr>
              <w:t xml:space="preserve"> a </w:t>
            </w:r>
            <w:proofErr w:type="spellStart"/>
            <w:r w:rsidRPr="00016351">
              <w:rPr>
                <w:bCs/>
              </w:rPr>
              <w:t>regional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identity</w:t>
            </w:r>
            <w:proofErr w:type="spellEnd"/>
            <w:r w:rsidRPr="00016351">
              <w:rPr>
                <w:bCs/>
              </w:rPr>
              <w:t xml:space="preserve">.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specificity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Lithuania </w:t>
            </w:r>
            <w:proofErr w:type="spellStart"/>
            <w:r w:rsidRPr="00016351">
              <w:rPr>
                <w:bCs/>
              </w:rPr>
              <w:t>is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explained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by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its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peripheral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position</w:t>
            </w:r>
            <w:proofErr w:type="spellEnd"/>
            <w:r w:rsidRPr="00016351">
              <w:rPr>
                <w:bCs/>
              </w:rPr>
              <w:t xml:space="preserve">. </w:t>
            </w:r>
            <w:proofErr w:type="spellStart"/>
            <w:r w:rsidRPr="00016351">
              <w:rPr>
                <w:bCs/>
              </w:rPr>
              <w:t>Research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on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historical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regions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Europe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is</w:t>
            </w:r>
            <w:proofErr w:type="spellEnd"/>
            <w:r w:rsidRPr="00016351">
              <w:rPr>
                <w:bCs/>
              </w:rPr>
              <w:t xml:space="preserve"> a </w:t>
            </w:r>
            <w:proofErr w:type="spellStart"/>
            <w:r w:rsidRPr="00016351">
              <w:rPr>
                <w:bCs/>
              </w:rPr>
              <w:t>fertile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area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for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interdisciplinary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dialogue</w:t>
            </w:r>
            <w:proofErr w:type="spellEnd"/>
            <w:r w:rsidRPr="00016351">
              <w:rPr>
                <w:bCs/>
              </w:rPr>
              <w:t xml:space="preserve">, </w:t>
            </w:r>
            <w:proofErr w:type="spellStart"/>
            <w:r w:rsidRPr="00016351">
              <w:rPr>
                <w:bCs/>
              </w:rPr>
              <w:t>which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could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become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another</w:t>
            </w:r>
            <w:proofErr w:type="spellEnd"/>
            <w:r w:rsidRPr="00016351">
              <w:rPr>
                <w:bCs/>
              </w:rPr>
              <w:t xml:space="preserve"> impulse </w:t>
            </w:r>
            <w:proofErr w:type="spellStart"/>
            <w:r w:rsidRPr="00016351">
              <w:rPr>
                <w:bCs/>
              </w:rPr>
              <w:t>for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methodological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and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thematic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renewal</w:t>
            </w:r>
            <w:proofErr w:type="spellEnd"/>
            <w:r w:rsidRPr="00016351">
              <w:rPr>
                <w:bCs/>
              </w:rPr>
              <w:t xml:space="preserve"> </w:t>
            </w:r>
            <w:proofErr w:type="spellStart"/>
            <w:r w:rsidRPr="00016351">
              <w:rPr>
                <w:bCs/>
              </w:rPr>
              <w:t>of</w:t>
            </w:r>
            <w:proofErr w:type="spellEnd"/>
            <w:r w:rsidRPr="00016351">
              <w:rPr>
                <w:bCs/>
              </w:rPr>
              <w:t xml:space="preserve"> Lithuanian </w:t>
            </w:r>
            <w:proofErr w:type="spellStart"/>
            <w:r w:rsidRPr="00016351">
              <w:rPr>
                <w:bCs/>
              </w:rPr>
              <w:t>historiography</w:t>
            </w:r>
            <w:proofErr w:type="spellEnd"/>
            <w:r w:rsidRPr="00016351">
              <w:rPr>
                <w:bCs/>
              </w:rPr>
              <w:t>.</w:t>
            </w:r>
          </w:p>
          <w:p w:rsidR="002D3C12" w:rsidRPr="00016351" w:rsidRDefault="002D3C12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2D3C12" w:rsidRPr="00016351" w:rsidTr="00924E97">
        <w:tc>
          <w:tcPr>
            <w:tcW w:w="9287" w:type="dxa"/>
            <w:gridSpan w:val="3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016351" w:rsidRDefault="002D7AD1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Key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literature</w:t>
            </w:r>
            <w:proofErr w:type="spellEnd"/>
          </w:p>
        </w:tc>
      </w:tr>
      <w:tr w:rsidR="002A669F" w:rsidRPr="00016351" w:rsidTr="00924E97">
        <w:trPr>
          <w:trHeight w:val="2307"/>
        </w:trPr>
        <w:tc>
          <w:tcPr>
            <w:tcW w:w="9287" w:type="dxa"/>
            <w:gridSpan w:val="3"/>
            <w:tcBorders>
              <w:top w:val="nil"/>
            </w:tcBorders>
          </w:tcPr>
          <w:p w:rsidR="002A669F" w:rsidRPr="00016351" w:rsidRDefault="002A669F" w:rsidP="002A66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  <w:ind w:right="86"/>
              <w:jc w:val="both"/>
            </w:pPr>
            <w:proofErr w:type="spellStart"/>
            <w:r w:rsidRPr="00016351">
              <w:t>Troebst</w:t>
            </w:r>
            <w:proofErr w:type="spellEnd"/>
            <w:r w:rsidRPr="00016351">
              <w:t>, S. ‘"</w:t>
            </w:r>
            <w:proofErr w:type="spellStart"/>
            <w:r w:rsidRPr="00016351">
              <w:t>Historical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Meso-Region</w:t>
            </w:r>
            <w:proofErr w:type="spellEnd"/>
            <w:r w:rsidRPr="00016351">
              <w:t xml:space="preserve">": A </w:t>
            </w:r>
            <w:proofErr w:type="spellStart"/>
            <w:r w:rsidRPr="00016351">
              <w:t>Concept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in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Cultural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Studies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Historiography</w:t>
            </w:r>
            <w:proofErr w:type="spellEnd"/>
            <w:r w:rsidRPr="00016351">
              <w:t>’,</w:t>
            </w:r>
            <w:r w:rsidRPr="00016351">
              <w:rPr>
                <w:spacing w:val="-39"/>
              </w:rPr>
              <w:t xml:space="preserve"> </w:t>
            </w:r>
            <w:r w:rsidRPr="00016351">
              <w:t xml:space="preserve">prieiga internete: </w:t>
            </w:r>
            <w:hyperlink r:id="rId5">
              <w:r w:rsidRPr="00016351">
                <w:t>http://ieg-ego.eu/en/threads/theories-and-methods/historical-meso-region/stefan-troebst-</w:t>
              </w:r>
            </w:hyperlink>
            <w:r w:rsidRPr="00016351">
              <w:t xml:space="preserve"> </w:t>
            </w:r>
            <w:proofErr w:type="spellStart"/>
            <w:r w:rsidRPr="00016351">
              <w:t>historical-meso-region</w:t>
            </w:r>
            <w:proofErr w:type="spellEnd"/>
            <w:r w:rsidRPr="00016351">
              <w:t xml:space="preserve"> (publikuota</w:t>
            </w:r>
            <w:r w:rsidRPr="00016351">
              <w:rPr>
                <w:spacing w:val="-3"/>
              </w:rPr>
              <w:t xml:space="preserve"> </w:t>
            </w:r>
            <w:r w:rsidRPr="00016351">
              <w:t>2012)</w:t>
            </w:r>
          </w:p>
          <w:p w:rsidR="002A669F" w:rsidRPr="00016351" w:rsidRDefault="002A669F" w:rsidP="002A66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  <w:ind w:right="178"/>
            </w:pPr>
            <w:proofErr w:type="spellStart"/>
            <w:r w:rsidRPr="00016351">
              <w:t>Troebst</w:t>
            </w:r>
            <w:proofErr w:type="spellEnd"/>
            <w:r w:rsidRPr="00016351">
              <w:t>, S. “</w:t>
            </w:r>
            <w:proofErr w:type="spellStart"/>
            <w:r w:rsidRPr="00016351">
              <w:t>Introduction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What’s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in</w:t>
            </w:r>
            <w:proofErr w:type="spellEnd"/>
            <w:r w:rsidRPr="00016351">
              <w:t xml:space="preserve"> a </w:t>
            </w:r>
            <w:proofErr w:type="spellStart"/>
            <w:r w:rsidRPr="00016351">
              <w:t>Historical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Region</w:t>
            </w:r>
            <w:proofErr w:type="spellEnd"/>
            <w:r w:rsidRPr="00016351">
              <w:t xml:space="preserve">? A </w:t>
            </w:r>
            <w:proofErr w:type="spellStart"/>
            <w:r w:rsidRPr="00016351">
              <w:t>Teutonic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Perspective</w:t>
            </w:r>
            <w:proofErr w:type="spellEnd"/>
            <w:r w:rsidRPr="00016351">
              <w:t xml:space="preserve">”, </w:t>
            </w:r>
            <w:proofErr w:type="spellStart"/>
            <w:r w:rsidRPr="00016351">
              <w:t>in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European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Review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of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History</w:t>
            </w:r>
            <w:proofErr w:type="spellEnd"/>
            <w:r w:rsidRPr="00016351">
              <w:t xml:space="preserve">, </w:t>
            </w:r>
            <w:proofErr w:type="spellStart"/>
            <w:r w:rsidRPr="00016351">
              <w:t>vol</w:t>
            </w:r>
            <w:proofErr w:type="spellEnd"/>
            <w:r w:rsidRPr="00016351">
              <w:t xml:space="preserve">. 10, </w:t>
            </w:r>
            <w:proofErr w:type="spellStart"/>
            <w:r w:rsidRPr="00016351">
              <w:t>No</w:t>
            </w:r>
            <w:proofErr w:type="spellEnd"/>
            <w:r w:rsidRPr="00016351">
              <w:t xml:space="preserve"> 2, 2003, </w:t>
            </w:r>
            <w:proofErr w:type="spellStart"/>
            <w:r w:rsidRPr="00016351">
              <w:t>pp</w:t>
            </w:r>
            <w:proofErr w:type="spellEnd"/>
            <w:r w:rsidRPr="00016351">
              <w:t xml:space="preserve">. 173-188 (aiškiai apibrėžia istorinio regiono lygmenis: istorinio </w:t>
            </w:r>
            <w:proofErr w:type="spellStart"/>
            <w:r w:rsidRPr="00016351">
              <w:t>mezoregiono</w:t>
            </w:r>
            <w:proofErr w:type="spellEnd"/>
            <w:r w:rsidRPr="00016351">
              <w:rPr>
                <w:spacing w:val="-1"/>
              </w:rPr>
              <w:t xml:space="preserve"> </w:t>
            </w:r>
            <w:r w:rsidRPr="00016351">
              <w:t>koncepcija).</w:t>
            </w:r>
          </w:p>
          <w:p w:rsidR="002A669F" w:rsidRPr="00016351" w:rsidRDefault="002A669F" w:rsidP="002A66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  <w:ind w:right="221"/>
              <w:jc w:val="both"/>
            </w:pPr>
            <w:proofErr w:type="spellStart"/>
            <w:r w:rsidRPr="00016351">
              <w:t>Troebst</w:t>
            </w:r>
            <w:proofErr w:type="spellEnd"/>
            <w:r w:rsidRPr="00016351">
              <w:t>, S. „</w:t>
            </w:r>
            <w:proofErr w:type="spellStart"/>
            <w:r w:rsidRPr="00016351">
              <w:t>Meso-regionalizing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Europe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History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Versus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Politics</w:t>
            </w:r>
            <w:proofErr w:type="spellEnd"/>
            <w:r w:rsidRPr="00016351">
              <w:t xml:space="preserve">“, </w:t>
            </w:r>
            <w:proofErr w:type="spellStart"/>
            <w:r w:rsidRPr="00016351">
              <w:t>in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Arnason</w:t>
            </w:r>
            <w:proofErr w:type="spellEnd"/>
            <w:r w:rsidRPr="00016351">
              <w:t xml:space="preserve">, J. P., </w:t>
            </w:r>
            <w:proofErr w:type="spellStart"/>
            <w:r w:rsidRPr="00016351">
              <w:t>Doyle</w:t>
            </w:r>
            <w:proofErr w:type="spellEnd"/>
            <w:r w:rsidRPr="00016351">
              <w:t>, N. J. (</w:t>
            </w:r>
            <w:proofErr w:type="spellStart"/>
            <w:r w:rsidRPr="00016351">
              <w:t>Eds</w:t>
            </w:r>
            <w:proofErr w:type="spellEnd"/>
            <w:r w:rsidRPr="00016351">
              <w:t xml:space="preserve">.) </w:t>
            </w:r>
            <w:proofErr w:type="spellStart"/>
            <w:r w:rsidRPr="00016351">
              <w:t>Domains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Divisions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of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European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History</w:t>
            </w:r>
            <w:proofErr w:type="spellEnd"/>
            <w:r w:rsidRPr="00016351">
              <w:t xml:space="preserve">. </w:t>
            </w:r>
            <w:proofErr w:type="spellStart"/>
            <w:r w:rsidRPr="00016351">
              <w:t>Liverpool</w:t>
            </w:r>
            <w:proofErr w:type="spellEnd"/>
            <w:r w:rsidRPr="00016351">
              <w:t xml:space="preserve"> University Press, 2010, </w:t>
            </w:r>
            <w:proofErr w:type="spellStart"/>
            <w:r w:rsidRPr="00016351">
              <w:t>pp</w:t>
            </w:r>
            <w:proofErr w:type="spellEnd"/>
            <w:r w:rsidRPr="00016351">
              <w:t>. 78-89. [IFB]</w:t>
            </w:r>
          </w:p>
          <w:p w:rsidR="002A669F" w:rsidRPr="00016351" w:rsidRDefault="002A669F" w:rsidP="002A66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  <w:ind w:right="84"/>
            </w:pPr>
            <w:proofErr w:type="spellStart"/>
            <w:r w:rsidRPr="00016351">
              <w:t>Jalava</w:t>
            </w:r>
            <w:proofErr w:type="spellEnd"/>
            <w:r w:rsidRPr="00016351">
              <w:t>, M. „</w:t>
            </w:r>
            <w:proofErr w:type="spellStart"/>
            <w:r w:rsidRPr="00016351">
              <w:t>The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Nordic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Countries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as</w:t>
            </w:r>
            <w:proofErr w:type="spellEnd"/>
            <w:r w:rsidRPr="00016351">
              <w:t xml:space="preserve"> a </w:t>
            </w:r>
            <w:proofErr w:type="spellStart"/>
            <w:r w:rsidRPr="00016351">
              <w:t>Historical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Historiographical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Region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Towards</w:t>
            </w:r>
            <w:proofErr w:type="spellEnd"/>
            <w:r w:rsidRPr="00016351">
              <w:t xml:space="preserve"> a </w:t>
            </w:r>
            <w:proofErr w:type="spellStart"/>
            <w:r w:rsidRPr="00016351">
              <w:t>Critical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Writing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of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Translocal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History</w:t>
            </w:r>
            <w:proofErr w:type="spellEnd"/>
            <w:r w:rsidRPr="00016351">
              <w:t xml:space="preserve">“, </w:t>
            </w:r>
            <w:proofErr w:type="spellStart"/>
            <w:r w:rsidRPr="00016351">
              <w:t>in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História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da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historiografia</w:t>
            </w:r>
            <w:proofErr w:type="spellEnd"/>
            <w:r w:rsidRPr="00016351">
              <w:t xml:space="preserve">, </w:t>
            </w:r>
            <w:proofErr w:type="spellStart"/>
            <w:r w:rsidRPr="00016351">
              <w:t>No</w:t>
            </w:r>
            <w:proofErr w:type="spellEnd"/>
            <w:r w:rsidRPr="00016351">
              <w:t xml:space="preserve"> 11, 2013, </w:t>
            </w:r>
            <w:proofErr w:type="spellStart"/>
            <w:r w:rsidRPr="00016351">
              <w:t>pp</w:t>
            </w:r>
            <w:proofErr w:type="spellEnd"/>
            <w:r w:rsidRPr="00016351">
              <w:t>.</w:t>
            </w:r>
            <w:r w:rsidRPr="00016351">
              <w:rPr>
                <w:spacing w:val="-14"/>
              </w:rPr>
              <w:t xml:space="preserve"> </w:t>
            </w:r>
            <w:r w:rsidRPr="00016351">
              <w:t>244–264.</w:t>
            </w:r>
          </w:p>
          <w:p w:rsidR="002A669F" w:rsidRPr="00016351" w:rsidRDefault="002A669F" w:rsidP="002A66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  <w:ind w:right="315"/>
            </w:pPr>
            <w:proofErr w:type="spellStart"/>
            <w:r w:rsidRPr="00016351">
              <w:t>Saarikoski</w:t>
            </w:r>
            <w:proofErr w:type="spellEnd"/>
            <w:r w:rsidRPr="00016351">
              <w:t>, V. “</w:t>
            </w:r>
            <w:proofErr w:type="spellStart"/>
            <w:r w:rsidRPr="00016351">
              <w:t>European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space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Thought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between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East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West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in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the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Twentieth</w:t>
            </w:r>
            <w:proofErr w:type="spellEnd"/>
            <w:r w:rsidRPr="00016351">
              <w:rPr>
                <w:spacing w:val="-31"/>
              </w:rPr>
              <w:t xml:space="preserve"> </w:t>
            </w:r>
            <w:proofErr w:type="spellStart"/>
            <w:r w:rsidRPr="00016351">
              <w:t>Century</w:t>
            </w:r>
            <w:proofErr w:type="spellEnd"/>
            <w:r w:rsidRPr="00016351">
              <w:t xml:space="preserve">”, </w:t>
            </w:r>
            <w:proofErr w:type="spellStart"/>
            <w:r w:rsidRPr="00016351">
              <w:t>in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The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Finnish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Review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of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East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European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Studies</w:t>
            </w:r>
            <w:proofErr w:type="spellEnd"/>
            <w:r w:rsidRPr="00016351">
              <w:t xml:space="preserve">, 7 (2000) </w:t>
            </w:r>
            <w:proofErr w:type="spellStart"/>
            <w:r w:rsidRPr="00016351">
              <w:t>pp</w:t>
            </w:r>
            <w:proofErr w:type="spellEnd"/>
            <w:r w:rsidRPr="00016351">
              <w:t>.</w:t>
            </w:r>
            <w:r w:rsidRPr="00016351">
              <w:rPr>
                <w:spacing w:val="-10"/>
              </w:rPr>
              <w:t xml:space="preserve"> </w:t>
            </w:r>
            <w:r w:rsidRPr="00016351">
              <w:t>27–47.</w:t>
            </w:r>
          </w:p>
          <w:p w:rsidR="002A669F" w:rsidRPr="00016351" w:rsidRDefault="002A669F" w:rsidP="002A66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</w:pPr>
            <w:proofErr w:type="spellStart"/>
            <w:r w:rsidRPr="00016351">
              <w:lastRenderedPageBreak/>
              <w:t>Mishkova</w:t>
            </w:r>
            <w:proofErr w:type="spellEnd"/>
            <w:r w:rsidRPr="00016351">
              <w:t xml:space="preserve">, D., </w:t>
            </w:r>
            <w:proofErr w:type="spellStart"/>
            <w:r w:rsidRPr="00016351">
              <w:t>Stråth</w:t>
            </w:r>
            <w:proofErr w:type="spellEnd"/>
            <w:r w:rsidRPr="00016351">
              <w:t xml:space="preserve">, B., </w:t>
            </w:r>
            <w:proofErr w:type="spellStart"/>
            <w:r w:rsidRPr="00016351">
              <w:t>Trencsényi</w:t>
            </w:r>
            <w:proofErr w:type="spellEnd"/>
            <w:r w:rsidRPr="00016351">
              <w:t>, B. „</w:t>
            </w:r>
            <w:proofErr w:type="spellStart"/>
            <w:r w:rsidRPr="00016351">
              <w:t>Regional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History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as</w:t>
            </w:r>
            <w:proofErr w:type="spellEnd"/>
            <w:r w:rsidRPr="00016351">
              <w:t xml:space="preserve"> a ‚</w:t>
            </w:r>
            <w:proofErr w:type="spellStart"/>
            <w:r w:rsidRPr="00016351">
              <w:t>Challenge</w:t>
            </w:r>
            <w:proofErr w:type="spellEnd"/>
            <w:r w:rsidRPr="00016351">
              <w:t>‘ to</w:t>
            </w:r>
            <w:r w:rsidRPr="00016351">
              <w:rPr>
                <w:spacing w:val="-18"/>
              </w:rPr>
              <w:t xml:space="preserve"> </w:t>
            </w:r>
            <w:proofErr w:type="spellStart"/>
            <w:r w:rsidRPr="00016351">
              <w:t>National</w:t>
            </w:r>
            <w:proofErr w:type="spellEnd"/>
          </w:p>
          <w:p w:rsidR="002A669F" w:rsidRPr="00016351" w:rsidRDefault="002A669F" w:rsidP="002A669F">
            <w:pPr>
              <w:pStyle w:val="TableParagraph"/>
              <w:spacing w:line="276" w:lineRule="auto"/>
              <w:ind w:left="464" w:right="112"/>
            </w:pPr>
            <w:proofErr w:type="spellStart"/>
            <w:r w:rsidRPr="00016351">
              <w:t>Frameworks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of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Historiography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The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case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of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Central</w:t>
            </w:r>
            <w:proofErr w:type="spellEnd"/>
            <w:r w:rsidRPr="00016351">
              <w:t xml:space="preserve">, </w:t>
            </w:r>
            <w:proofErr w:type="spellStart"/>
            <w:r w:rsidRPr="00016351">
              <w:t>Southeast</w:t>
            </w:r>
            <w:proofErr w:type="spellEnd"/>
            <w:r w:rsidRPr="00016351">
              <w:t xml:space="preserve">,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Northen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Europe</w:t>
            </w:r>
            <w:proofErr w:type="spellEnd"/>
            <w:r w:rsidRPr="00016351">
              <w:t xml:space="preserve">“, </w:t>
            </w:r>
            <w:proofErr w:type="spellStart"/>
            <w:r w:rsidRPr="00016351">
              <w:t>in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Middell</w:t>
            </w:r>
            <w:proofErr w:type="spellEnd"/>
            <w:r w:rsidRPr="00016351">
              <w:t xml:space="preserve">, M., </w:t>
            </w:r>
            <w:proofErr w:type="spellStart"/>
            <w:r w:rsidRPr="00016351">
              <w:t>Riura</w:t>
            </w:r>
            <w:proofErr w:type="spellEnd"/>
            <w:r w:rsidRPr="00016351">
              <w:t>, L. (</w:t>
            </w:r>
            <w:proofErr w:type="spellStart"/>
            <w:r w:rsidRPr="00016351">
              <w:t>Eds</w:t>
            </w:r>
            <w:proofErr w:type="spellEnd"/>
            <w:r w:rsidRPr="00016351">
              <w:t xml:space="preserve">.) </w:t>
            </w:r>
            <w:proofErr w:type="spellStart"/>
            <w:r w:rsidRPr="00016351">
              <w:t>Transnational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Challenges</w:t>
            </w:r>
            <w:proofErr w:type="spellEnd"/>
            <w:r w:rsidRPr="00016351">
              <w:t xml:space="preserve"> to </w:t>
            </w:r>
            <w:proofErr w:type="spellStart"/>
            <w:r w:rsidRPr="00016351">
              <w:t>National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History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Writing</w:t>
            </w:r>
            <w:proofErr w:type="spellEnd"/>
            <w:r w:rsidRPr="00016351">
              <w:t xml:space="preserve">. </w:t>
            </w:r>
            <w:proofErr w:type="spellStart"/>
            <w:r w:rsidRPr="00016351">
              <w:t>Basingstoke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Palgrave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Macmillan</w:t>
            </w:r>
            <w:proofErr w:type="spellEnd"/>
            <w:r w:rsidRPr="00016351">
              <w:t xml:space="preserve">, 2013, </w:t>
            </w:r>
            <w:proofErr w:type="spellStart"/>
            <w:r w:rsidRPr="00016351">
              <w:t>pp</w:t>
            </w:r>
            <w:proofErr w:type="spellEnd"/>
            <w:r w:rsidRPr="00016351">
              <w:t>. 257-314. [IFB]</w:t>
            </w:r>
          </w:p>
          <w:p w:rsidR="002A669F" w:rsidRPr="00016351" w:rsidRDefault="002A669F" w:rsidP="002A66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  <w:ind w:right="496"/>
            </w:pPr>
            <w:proofErr w:type="spellStart"/>
            <w:r w:rsidRPr="00016351">
              <w:t>Todorova</w:t>
            </w:r>
            <w:proofErr w:type="spellEnd"/>
            <w:r w:rsidRPr="00016351">
              <w:t>, M. “</w:t>
            </w:r>
            <w:proofErr w:type="spellStart"/>
            <w:r w:rsidRPr="00016351">
              <w:t>Spacing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Europe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what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is</w:t>
            </w:r>
            <w:proofErr w:type="spellEnd"/>
            <w:r w:rsidRPr="00016351">
              <w:t xml:space="preserve"> a </w:t>
            </w:r>
            <w:proofErr w:type="spellStart"/>
            <w:r w:rsidRPr="00016351">
              <w:t>historical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region</w:t>
            </w:r>
            <w:proofErr w:type="spellEnd"/>
            <w:r w:rsidRPr="00016351">
              <w:t xml:space="preserve">?”, </w:t>
            </w:r>
            <w:proofErr w:type="spellStart"/>
            <w:r w:rsidRPr="00016351">
              <w:t>in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East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Central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Europe</w:t>
            </w:r>
            <w:proofErr w:type="spellEnd"/>
            <w:r w:rsidRPr="00016351">
              <w:t xml:space="preserve">, </w:t>
            </w:r>
            <w:proofErr w:type="spellStart"/>
            <w:r w:rsidRPr="00016351">
              <w:t>vol</w:t>
            </w:r>
            <w:proofErr w:type="spellEnd"/>
            <w:r w:rsidRPr="00016351">
              <w:t xml:space="preserve">. 32, 2005, </w:t>
            </w:r>
            <w:proofErr w:type="spellStart"/>
            <w:r w:rsidRPr="00016351">
              <w:t>part</w:t>
            </w:r>
            <w:proofErr w:type="spellEnd"/>
            <w:r w:rsidRPr="00016351">
              <w:t xml:space="preserve"> 1-2, </w:t>
            </w:r>
            <w:proofErr w:type="spellStart"/>
            <w:r w:rsidRPr="00016351">
              <w:t>pp</w:t>
            </w:r>
            <w:proofErr w:type="spellEnd"/>
            <w:r w:rsidRPr="00016351">
              <w:t>.</w:t>
            </w:r>
            <w:r w:rsidRPr="00016351">
              <w:rPr>
                <w:spacing w:val="-3"/>
              </w:rPr>
              <w:t xml:space="preserve"> </w:t>
            </w:r>
            <w:r w:rsidRPr="00016351">
              <w:t>59-78.</w:t>
            </w:r>
          </w:p>
          <w:p w:rsidR="002A669F" w:rsidRPr="00016351" w:rsidRDefault="002A669F" w:rsidP="002A66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  <w:ind w:right="298"/>
            </w:pPr>
            <w:proofErr w:type="spellStart"/>
            <w:r w:rsidRPr="00016351">
              <w:t>Grzechnik</w:t>
            </w:r>
            <w:proofErr w:type="spellEnd"/>
            <w:r w:rsidRPr="00016351">
              <w:t xml:space="preserve">, M. </w:t>
            </w:r>
            <w:proofErr w:type="spellStart"/>
            <w:r w:rsidRPr="00016351">
              <w:t>Regional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Histories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Historical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Regions</w:t>
            </w:r>
            <w:proofErr w:type="spellEnd"/>
            <w:r w:rsidRPr="00016351">
              <w:t xml:space="preserve">. </w:t>
            </w:r>
            <w:proofErr w:type="spellStart"/>
            <w:r w:rsidRPr="00016351">
              <w:t>The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Concept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of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the</w:t>
            </w:r>
            <w:proofErr w:type="spellEnd"/>
            <w:r w:rsidRPr="00016351">
              <w:t xml:space="preserve"> Baltic </w:t>
            </w:r>
            <w:proofErr w:type="spellStart"/>
            <w:r w:rsidRPr="00016351">
              <w:t>Sea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Region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in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Polish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Swedish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Historiographies</w:t>
            </w:r>
            <w:proofErr w:type="spellEnd"/>
            <w:r w:rsidRPr="00016351">
              <w:t xml:space="preserve">. </w:t>
            </w:r>
            <w:proofErr w:type="spellStart"/>
            <w:r w:rsidRPr="00016351">
              <w:t>Peter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Lang</w:t>
            </w:r>
            <w:proofErr w:type="spellEnd"/>
            <w:r w:rsidRPr="00016351">
              <w:t>, 2012.</w:t>
            </w:r>
            <w:r w:rsidRPr="00016351">
              <w:rPr>
                <w:spacing w:val="-3"/>
              </w:rPr>
              <w:t xml:space="preserve"> </w:t>
            </w:r>
            <w:r w:rsidRPr="00016351">
              <w:t>[IFB]</w:t>
            </w:r>
          </w:p>
          <w:p w:rsidR="002A669F" w:rsidRPr="00016351" w:rsidRDefault="002A669F" w:rsidP="002A66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  <w:ind w:right="174"/>
            </w:pPr>
            <w:proofErr w:type="spellStart"/>
            <w:r w:rsidRPr="00016351">
              <w:t>Ther</w:t>
            </w:r>
            <w:proofErr w:type="spellEnd"/>
            <w:r w:rsidRPr="00016351">
              <w:t>, P. “</w:t>
            </w:r>
            <w:proofErr w:type="spellStart"/>
            <w:r w:rsidRPr="00016351">
              <w:t>Comparisons</w:t>
            </w:r>
            <w:proofErr w:type="spellEnd"/>
            <w:r w:rsidRPr="00016351">
              <w:t xml:space="preserve">, </w:t>
            </w:r>
            <w:proofErr w:type="spellStart"/>
            <w:r w:rsidRPr="00016351">
              <w:t>Cultural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Transfers</w:t>
            </w:r>
            <w:proofErr w:type="spellEnd"/>
            <w:r w:rsidRPr="00016351">
              <w:t xml:space="preserve">,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the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Study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of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Networks</w:t>
            </w:r>
            <w:proofErr w:type="spellEnd"/>
            <w:r w:rsidRPr="00016351">
              <w:t xml:space="preserve">. </w:t>
            </w:r>
            <w:proofErr w:type="spellStart"/>
            <w:r w:rsidRPr="00016351">
              <w:t>Toward</w:t>
            </w:r>
            <w:proofErr w:type="spellEnd"/>
            <w:r w:rsidRPr="00016351">
              <w:t xml:space="preserve"> a </w:t>
            </w:r>
            <w:proofErr w:type="spellStart"/>
            <w:r w:rsidRPr="00016351">
              <w:t>Transnational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History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of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Europe</w:t>
            </w:r>
            <w:proofErr w:type="spellEnd"/>
            <w:r w:rsidRPr="00016351">
              <w:t xml:space="preserve">”, </w:t>
            </w:r>
            <w:proofErr w:type="spellStart"/>
            <w:r w:rsidRPr="00016351">
              <w:t>in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Haupt</w:t>
            </w:r>
            <w:proofErr w:type="spellEnd"/>
            <w:r w:rsidRPr="00016351">
              <w:t xml:space="preserve">, H.-G., </w:t>
            </w:r>
            <w:proofErr w:type="spellStart"/>
            <w:r w:rsidRPr="00016351">
              <w:t>Kocka</w:t>
            </w:r>
            <w:proofErr w:type="spellEnd"/>
            <w:r w:rsidRPr="00016351">
              <w:t>, J. (</w:t>
            </w:r>
            <w:proofErr w:type="spellStart"/>
            <w:r w:rsidRPr="00016351">
              <w:t>Eds</w:t>
            </w:r>
            <w:proofErr w:type="spellEnd"/>
            <w:r w:rsidRPr="00016351">
              <w:t xml:space="preserve">.) </w:t>
            </w:r>
            <w:proofErr w:type="spellStart"/>
            <w:r w:rsidRPr="00016351">
              <w:t>Comparative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Transnational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History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Central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European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Approaches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New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Perspectives</w:t>
            </w:r>
            <w:proofErr w:type="spellEnd"/>
            <w:r w:rsidRPr="00016351">
              <w:t xml:space="preserve">. </w:t>
            </w:r>
            <w:proofErr w:type="spellStart"/>
            <w:r w:rsidRPr="00016351">
              <w:t>New</w:t>
            </w:r>
            <w:proofErr w:type="spellEnd"/>
            <w:r w:rsidRPr="00016351">
              <w:t xml:space="preserve"> York, </w:t>
            </w:r>
            <w:proofErr w:type="spellStart"/>
            <w:r w:rsidRPr="00016351">
              <w:t>Oxford</w:t>
            </w:r>
            <w:proofErr w:type="spellEnd"/>
            <w:r w:rsidRPr="00016351">
              <w:t xml:space="preserve">: </w:t>
            </w:r>
            <w:proofErr w:type="spellStart"/>
            <w:r w:rsidRPr="00016351">
              <w:t>Berghahn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Books</w:t>
            </w:r>
            <w:proofErr w:type="spellEnd"/>
            <w:r w:rsidRPr="00016351">
              <w:t>,</w:t>
            </w:r>
            <w:r w:rsidRPr="00016351">
              <w:rPr>
                <w:spacing w:val="-23"/>
              </w:rPr>
              <w:t xml:space="preserve"> </w:t>
            </w:r>
            <w:r w:rsidRPr="00016351">
              <w:t xml:space="preserve">2009, </w:t>
            </w:r>
            <w:proofErr w:type="spellStart"/>
            <w:r w:rsidRPr="00016351">
              <w:t>pp</w:t>
            </w:r>
            <w:proofErr w:type="spellEnd"/>
            <w:r w:rsidRPr="00016351">
              <w:t>. 204-225.</w:t>
            </w:r>
          </w:p>
          <w:p w:rsidR="002A669F" w:rsidRPr="00016351" w:rsidRDefault="002A669F" w:rsidP="002A66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  <w:ind w:right="327"/>
            </w:pPr>
            <w:r w:rsidRPr="00016351">
              <w:t xml:space="preserve">Bumblauskas A. Lithuania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Europe's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historical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regions</w:t>
            </w:r>
            <w:proofErr w:type="spellEnd"/>
            <w:r w:rsidRPr="00016351">
              <w:t xml:space="preserve"> /</w:t>
            </w:r>
            <w:proofErr w:type="spellStart"/>
            <w:r w:rsidRPr="00016351">
              <w:t>bibliogr</w:t>
            </w:r>
            <w:proofErr w:type="spellEnd"/>
            <w:r w:rsidRPr="00016351">
              <w:t xml:space="preserve">. // Lithuanian </w:t>
            </w:r>
            <w:proofErr w:type="spellStart"/>
            <w:r w:rsidRPr="00016351">
              <w:t>foreign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policy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review</w:t>
            </w:r>
            <w:proofErr w:type="spellEnd"/>
            <w:r w:rsidRPr="00016351">
              <w:t xml:space="preserve">, </w:t>
            </w:r>
            <w:proofErr w:type="spellStart"/>
            <w:r w:rsidRPr="00016351">
              <w:t>nr.</w:t>
            </w:r>
            <w:proofErr w:type="spellEnd"/>
            <w:r w:rsidRPr="00016351">
              <w:t xml:space="preserve"> 1 (5), p.179-190, Vilnius,</w:t>
            </w:r>
            <w:r w:rsidRPr="00016351">
              <w:rPr>
                <w:spacing w:val="-6"/>
              </w:rPr>
              <w:t xml:space="preserve"> </w:t>
            </w:r>
            <w:r w:rsidRPr="00016351">
              <w:t>2000.</w:t>
            </w:r>
          </w:p>
          <w:p w:rsidR="002A669F" w:rsidRPr="00016351" w:rsidRDefault="002A669F" w:rsidP="002A66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</w:pPr>
            <w:r w:rsidRPr="00016351">
              <w:t>Bumblauskas A. Senosios Lietuvos istorija: 1009-1795. V.,</w:t>
            </w:r>
            <w:r w:rsidRPr="00016351">
              <w:rPr>
                <w:spacing w:val="-5"/>
              </w:rPr>
              <w:t xml:space="preserve"> </w:t>
            </w:r>
            <w:r w:rsidRPr="00016351">
              <w:t>2005.</w:t>
            </w:r>
          </w:p>
          <w:p w:rsidR="002A669F" w:rsidRPr="00016351" w:rsidRDefault="002A669F" w:rsidP="002A66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016351">
              <w:rPr>
                <w:sz w:val="22"/>
                <w:szCs w:val="22"/>
              </w:rPr>
              <w:t>Brague</w:t>
            </w:r>
            <w:proofErr w:type="spellEnd"/>
            <w:r w:rsidRPr="00016351">
              <w:rPr>
                <w:sz w:val="22"/>
                <w:szCs w:val="22"/>
              </w:rPr>
              <w:t xml:space="preserve"> R. </w:t>
            </w:r>
            <w:proofErr w:type="spellStart"/>
            <w:r w:rsidRPr="00016351">
              <w:rPr>
                <w:sz w:val="22"/>
                <w:szCs w:val="22"/>
              </w:rPr>
              <w:t>Ekscentriškoji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Europos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tapatybė</w:t>
            </w:r>
            <w:proofErr w:type="spellEnd"/>
            <w:r w:rsidRPr="00016351">
              <w:rPr>
                <w:sz w:val="22"/>
                <w:szCs w:val="22"/>
              </w:rPr>
              <w:t>. V.,</w:t>
            </w:r>
            <w:r w:rsidRPr="00016351">
              <w:rPr>
                <w:spacing w:val="-4"/>
                <w:sz w:val="22"/>
                <w:szCs w:val="22"/>
              </w:rPr>
              <w:t xml:space="preserve"> </w:t>
            </w:r>
            <w:r w:rsidRPr="00016351">
              <w:rPr>
                <w:sz w:val="22"/>
                <w:szCs w:val="22"/>
              </w:rPr>
              <w:t>2001.</w:t>
            </w:r>
          </w:p>
          <w:p w:rsidR="002A669F" w:rsidRPr="00016351" w:rsidRDefault="002A669F" w:rsidP="002A669F">
            <w:pPr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spacing w:before="23" w:line="276" w:lineRule="auto"/>
              <w:rPr>
                <w:sz w:val="22"/>
                <w:szCs w:val="22"/>
              </w:rPr>
            </w:pPr>
            <w:proofErr w:type="spellStart"/>
            <w:r w:rsidRPr="00016351">
              <w:rPr>
                <w:sz w:val="22"/>
                <w:szCs w:val="22"/>
              </w:rPr>
              <w:t>Conze</w:t>
            </w:r>
            <w:proofErr w:type="spellEnd"/>
            <w:r w:rsidRPr="00016351">
              <w:rPr>
                <w:sz w:val="22"/>
                <w:szCs w:val="22"/>
              </w:rPr>
              <w:t xml:space="preserve"> W. </w:t>
            </w:r>
            <w:proofErr w:type="spellStart"/>
            <w:r w:rsidRPr="00016351">
              <w:rPr>
                <w:sz w:val="22"/>
                <w:szCs w:val="22"/>
              </w:rPr>
              <w:t>Ostmitteleuropa</w:t>
            </w:r>
            <w:proofErr w:type="spellEnd"/>
            <w:r w:rsidRPr="00016351">
              <w:rPr>
                <w:sz w:val="22"/>
                <w:szCs w:val="22"/>
              </w:rPr>
              <w:t xml:space="preserve">: Von der </w:t>
            </w:r>
            <w:proofErr w:type="spellStart"/>
            <w:r w:rsidRPr="00016351">
              <w:rPr>
                <w:sz w:val="22"/>
                <w:szCs w:val="22"/>
              </w:rPr>
              <w:t>Spätantik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bis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zum</w:t>
            </w:r>
            <w:proofErr w:type="spellEnd"/>
            <w:r w:rsidRPr="00016351">
              <w:rPr>
                <w:sz w:val="22"/>
                <w:szCs w:val="22"/>
              </w:rPr>
              <w:t xml:space="preserve"> 18. </w:t>
            </w:r>
            <w:proofErr w:type="spellStart"/>
            <w:r w:rsidRPr="00016351">
              <w:rPr>
                <w:sz w:val="22"/>
                <w:szCs w:val="22"/>
              </w:rPr>
              <w:t>Jahrhundert</w:t>
            </w:r>
            <w:proofErr w:type="spellEnd"/>
            <w:r w:rsidRPr="00016351">
              <w:rPr>
                <w:sz w:val="22"/>
                <w:szCs w:val="22"/>
              </w:rPr>
              <w:t xml:space="preserve">. - </w:t>
            </w:r>
            <w:proofErr w:type="spellStart"/>
            <w:r w:rsidRPr="00016351">
              <w:rPr>
                <w:sz w:val="22"/>
                <w:szCs w:val="22"/>
              </w:rPr>
              <w:t>München</w:t>
            </w:r>
            <w:proofErr w:type="spellEnd"/>
            <w:r w:rsidRPr="00016351">
              <w:rPr>
                <w:sz w:val="22"/>
                <w:szCs w:val="22"/>
              </w:rPr>
              <w:t>,</w:t>
            </w:r>
            <w:r w:rsidRPr="00016351">
              <w:rPr>
                <w:spacing w:val="-11"/>
                <w:sz w:val="22"/>
                <w:szCs w:val="22"/>
              </w:rPr>
              <w:t xml:space="preserve"> </w:t>
            </w:r>
            <w:r w:rsidRPr="00016351">
              <w:rPr>
                <w:sz w:val="22"/>
                <w:szCs w:val="22"/>
              </w:rPr>
              <w:t>1992.</w:t>
            </w:r>
          </w:p>
          <w:p w:rsidR="002A669F" w:rsidRPr="00016351" w:rsidRDefault="002A669F" w:rsidP="002A669F">
            <w:pPr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spacing w:before="1" w:line="276" w:lineRule="auto"/>
              <w:rPr>
                <w:sz w:val="22"/>
                <w:szCs w:val="22"/>
              </w:rPr>
            </w:pPr>
            <w:proofErr w:type="spellStart"/>
            <w:r w:rsidRPr="00016351">
              <w:rPr>
                <w:sz w:val="22"/>
                <w:szCs w:val="22"/>
              </w:rPr>
              <w:t>Delanty</w:t>
            </w:r>
            <w:proofErr w:type="spellEnd"/>
            <w:r w:rsidRPr="00016351">
              <w:rPr>
                <w:sz w:val="22"/>
                <w:szCs w:val="22"/>
              </w:rPr>
              <w:t xml:space="preserve"> G. </w:t>
            </w:r>
            <w:proofErr w:type="spellStart"/>
            <w:r w:rsidRPr="00016351">
              <w:rPr>
                <w:sz w:val="22"/>
                <w:szCs w:val="22"/>
              </w:rPr>
              <w:t>Europos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išradimas</w:t>
            </w:r>
            <w:proofErr w:type="spellEnd"/>
            <w:r w:rsidRPr="00016351">
              <w:rPr>
                <w:sz w:val="22"/>
                <w:szCs w:val="22"/>
              </w:rPr>
              <w:t xml:space="preserve">: </w:t>
            </w:r>
            <w:proofErr w:type="spellStart"/>
            <w:r w:rsidRPr="00016351">
              <w:rPr>
                <w:sz w:val="22"/>
                <w:szCs w:val="22"/>
              </w:rPr>
              <w:t>idėja</w:t>
            </w:r>
            <w:proofErr w:type="spellEnd"/>
            <w:r w:rsidRPr="00016351">
              <w:rPr>
                <w:sz w:val="22"/>
                <w:szCs w:val="22"/>
              </w:rPr>
              <w:t xml:space="preserve">, </w:t>
            </w:r>
            <w:proofErr w:type="spellStart"/>
            <w:r w:rsidRPr="00016351">
              <w:rPr>
                <w:sz w:val="22"/>
                <w:szCs w:val="22"/>
              </w:rPr>
              <w:t>tapatumas</w:t>
            </w:r>
            <w:proofErr w:type="spellEnd"/>
            <w:r w:rsidRPr="00016351">
              <w:rPr>
                <w:sz w:val="22"/>
                <w:szCs w:val="22"/>
              </w:rPr>
              <w:t xml:space="preserve">, </w:t>
            </w:r>
            <w:proofErr w:type="spellStart"/>
            <w:r w:rsidRPr="00016351">
              <w:rPr>
                <w:sz w:val="22"/>
                <w:szCs w:val="22"/>
              </w:rPr>
              <w:t>realybė</w:t>
            </w:r>
            <w:proofErr w:type="spellEnd"/>
            <w:r w:rsidRPr="00016351">
              <w:rPr>
                <w:sz w:val="22"/>
                <w:szCs w:val="22"/>
              </w:rPr>
              <w:t>. - Vilnius,</w:t>
            </w:r>
            <w:r w:rsidRPr="00016351">
              <w:rPr>
                <w:spacing w:val="-8"/>
                <w:sz w:val="22"/>
                <w:szCs w:val="22"/>
              </w:rPr>
              <w:t xml:space="preserve"> </w:t>
            </w:r>
            <w:r w:rsidRPr="00016351">
              <w:rPr>
                <w:sz w:val="22"/>
                <w:szCs w:val="22"/>
              </w:rPr>
              <w:t>2002.</w:t>
            </w:r>
          </w:p>
          <w:p w:rsidR="002A669F" w:rsidRPr="00016351" w:rsidRDefault="002A669F" w:rsidP="002A669F">
            <w:pPr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spacing w:line="276" w:lineRule="auto"/>
              <w:ind w:right="912"/>
              <w:rPr>
                <w:sz w:val="22"/>
                <w:szCs w:val="22"/>
              </w:rPr>
            </w:pPr>
            <w:proofErr w:type="spellStart"/>
            <w:r w:rsidRPr="00016351">
              <w:rPr>
                <w:sz w:val="22"/>
                <w:szCs w:val="22"/>
              </w:rPr>
              <w:t>Gudavičius</w:t>
            </w:r>
            <w:proofErr w:type="spellEnd"/>
            <w:r w:rsidRPr="00016351">
              <w:rPr>
                <w:sz w:val="22"/>
                <w:szCs w:val="22"/>
              </w:rPr>
              <w:t xml:space="preserve"> E. </w:t>
            </w:r>
            <w:proofErr w:type="spellStart"/>
            <w:r w:rsidRPr="00016351">
              <w:rPr>
                <w:sz w:val="22"/>
                <w:szCs w:val="22"/>
              </w:rPr>
              <w:t>Lietuvos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europėjimo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keliais</w:t>
            </w:r>
            <w:proofErr w:type="spellEnd"/>
            <w:r w:rsidRPr="00016351">
              <w:rPr>
                <w:sz w:val="22"/>
                <w:szCs w:val="22"/>
              </w:rPr>
              <w:t xml:space="preserve">: </w:t>
            </w:r>
            <w:proofErr w:type="spellStart"/>
            <w:r w:rsidRPr="00016351">
              <w:rPr>
                <w:sz w:val="22"/>
                <w:szCs w:val="22"/>
              </w:rPr>
              <w:t>istorinės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studijos</w:t>
            </w:r>
            <w:proofErr w:type="spellEnd"/>
            <w:r w:rsidRPr="00016351">
              <w:rPr>
                <w:sz w:val="22"/>
                <w:szCs w:val="22"/>
              </w:rPr>
              <w:t xml:space="preserve"> / </w:t>
            </w:r>
            <w:proofErr w:type="spellStart"/>
            <w:r w:rsidRPr="00016351">
              <w:rPr>
                <w:sz w:val="22"/>
                <w:szCs w:val="22"/>
              </w:rPr>
              <w:t>sudarė</w:t>
            </w:r>
            <w:proofErr w:type="spellEnd"/>
            <w:r w:rsidRPr="00016351">
              <w:rPr>
                <w:sz w:val="22"/>
                <w:szCs w:val="22"/>
              </w:rPr>
              <w:t xml:space="preserve"> A. </w:t>
            </w:r>
            <w:proofErr w:type="spellStart"/>
            <w:r w:rsidRPr="00016351">
              <w:rPr>
                <w:sz w:val="22"/>
                <w:szCs w:val="22"/>
              </w:rPr>
              <w:t>Bumblauskas</w:t>
            </w:r>
            <w:proofErr w:type="spellEnd"/>
            <w:r w:rsidRPr="00016351">
              <w:rPr>
                <w:sz w:val="22"/>
                <w:szCs w:val="22"/>
              </w:rPr>
              <w:t>, R. Petrauskas. - Vilnius,</w:t>
            </w:r>
            <w:r w:rsidRPr="00016351">
              <w:rPr>
                <w:spacing w:val="-5"/>
                <w:sz w:val="22"/>
                <w:szCs w:val="22"/>
              </w:rPr>
              <w:t xml:space="preserve"> </w:t>
            </w:r>
            <w:r w:rsidRPr="00016351">
              <w:rPr>
                <w:sz w:val="22"/>
                <w:szCs w:val="22"/>
              </w:rPr>
              <w:t>2002.</w:t>
            </w:r>
          </w:p>
          <w:p w:rsidR="002A669F" w:rsidRPr="00016351" w:rsidRDefault="002A669F" w:rsidP="002A669F">
            <w:pPr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016351">
              <w:rPr>
                <w:sz w:val="22"/>
                <w:szCs w:val="22"/>
              </w:rPr>
              <w:t>Halecki</w:t>
            </w:r>
            <w:proofErr w:type="spellEnd"/>
            <w:r w:rsidRPr="00016351">
              <w:rPr>
                <w:sz w:val="22"/>
                <w:szCs w:val="22"/>
              </w:rPr>
              <w:t xml:space="preserve"> O. </w:t>
            </w:r>
            <w:proofErr w:type="spellStart"/>
            <w:r w:rsidRPr="00016351">
              <w:rPr>
                <w:sz w:val="22"/>
                <w:szCs w:val="22"/>
              </w:rPr>
              <w:t>Historia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Europy</w:t>
            </w:r>
            <w:proofErr w:type="spellEnd"/>
            <w:r w:rsidRPr="00016351">
              <w:rPr>
                <w:sz w:val="22"/>
                <w:szCs w:val="22"/>
              </w:rPr>
              <w:t xml:space="preserve"> - </w:t>
            </w:r>
            <w:proofErr w:type="spellStart"/>
            <w:r w:rsidRPr="00016351">
              <w:rPr>
                <w:sz w:val="22"/>
                <w:szCs w:val="22"/>
              </w:rPr>
              <w:t>jej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granicy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i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podzialy</w:t>
            </w:r>
            <w:proofErr w:type="spellEnd"/>
            <w:r w:rsidRPr="00016351">
              <w:rPr>
                <w:sz w:val="22"/>
                <w:szCs w:val="22"/>
              </w:rPr>
              <w:t>. - Lublin,</w:t>
            </w:r>
            <w:r w:rsidRPr="00016351">
              <w:rPr>
                <w:spacing w:val="-6"/>
                <w:sz w:val="22"/>
                <w:szCs w:val="22"/>
              </w:rPr>
              <w:t xml:space="preserve"> </w:t>
            </w:r>
            <w:r w:rsidRPr="00016351">
              <w:rPr>
                <w:sz w:val="22"/>
                <w:szCs w:val="22"/>
              </w:rPr>
              <w:t>1994.</w:t>
            </w:r>
          </w:p>
          <w:p w:rsidR="002A669F" w:rsidRPr="00016351" w:rsidRDefault="002A669F" w:rsidP="002A669F">
            <w:pPr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016351">
              <w:rPr>
                <w:sz w:val="22"/>
                <w:szCs w:val="22"/>
              </w:rPr>
              <w:t>Kłoczowski</w:t>
            </w:r>
            <w:proofErr w:type="spellEnd"/>
            <w:r w:rsidRPr="00016351">
              <w:rPr>
                <w:sz w:val="22"/>
                <w:szCs w:val="22"/>
              </w:rPr>
              <w:t xml:space="preserve"> J. Europa </w:t>
            </w:r>
            <w:proofErr w:type="spellStart"/>
            <w:r w:rsidRPr="00016351">
              <w:rPr>
                <w:sz w:val="22"/>
                <w:szCs w:val="22"/>
              </w:rPr>
              <w:t>Sródkowo-Wschodnia</w:t>
            </w:r>
            <w:proofErr w:type="spellEnd"/>
            <w:r w:rsidRPr="00016351">
              <w:rPr>
                <w:sz w:val="22"/>
                <w:szCs w:val="22"/>
              </w:rPr>
              <w:t xml:space="preserve"> w </w:t>
            </w:r>
            <w:proofErr w:type="spellStart"/>
            <w:r w:rsidRPr="00016351">
              <w:rPr>
                <w:sz w:val="22"/>
                <w:szCs w:val="22"/>
              </w:rPr>
              <w:t>historiografii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krajów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regionu</w:t>
            </w:r>
            <w:proofErr w:type="spellEnd"/>
            <w:r w:rsidRPr="00016351">
              <w:rPr>
                <w:sz w:val="22"/>
                <w:szCs w:val="22"/>
              </w:rPr>
              <w:t>. - Lublin,</w:t>
            </w:r>
            <w:r w:rsidRPr="00016351">
              <w:rPr>
                <w:spacing w:val="-11"/>
                <w:sz w:val="22"/>
                <w:szCs w:val="22"/>
              </w:rPr>
              <w:t xml:space="preserve"> </w:t>
            </w:r>
            <w:r w:rsidRPr="00016351">
              <w:rPr>
                <w:sz w:val="22"/>
                <w:szCs w:val="22"/>
              </w:rPr>
              <w:t>1993.</w:t>
            </w:r>
          </w:p>
          <w:p w:rsidR="002A669F" w:rsidRPr="00016351" w:rsidRDefault="002A669F" w:rsidP="002A669F">
            <w:pPr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spacing w:before="2" w:line="276" w:lineRule="auto"/>
              <w:rPr>
                <w:sz w:val="22"/>
                <w:szCs w:val="22"/>
              </w:rPr>
            </w:pPr>
            <w:proofErr w:type="spellStart"/>
            <w:r w:rsidRPr="00016351">
              <w:rPr>
                <w:sz w:val="22"/>
                <w:szCs w:val="22"/>
              </w:rPr>
              <w:t>Kłoczowski</w:t>
            </w:r>
            <w:proofErr w:type="spellEnd"/>
            <w:r w:rsidRPr="00016351">
              <w:rPr>
                <w:sz w:val="22"/>
                <w:szCs w:val="22"/>
              </w:rPr>
              <w:t xml:space="preserve"> J. </w:t>
            </w:r>
            <w:proofErr w:type="spellStart"/>
            <w:r w:rsidRPr="00016351">
              <w:rPr>
                <w:sz w:val="22"/>
                <w:szCs w:val="22"/>
              </w:rPr>
              <w:t>Młodsza</w:t>
            </w:r>
            <w:proofErr w:type="spellEnd"/>
            <w:r w:rsidRPr="00016351">
              <w:rPr>
                <w:sz w:val="22"/>
                <w:szCs w:val="22"/>
              </w:rPr>
              <w:t xml:space="preserve"> Europa. - Warszawa,</w:t>
            </w:r>
            <w:r w:rsidRPr="00016351">
              <w:rPr>
                <w:spacing w:val="-2"/>
                <w:sz w:val="22"/>
                <w:szCs w:val="22"/>
              </w:rPr>
              <w:t xml:space="preserve"> </w:t>
            </w:r>
            <w:r w:rsidRPr="00016351">
              <w:rPr>
                <w:sz w:val="22"/>
                <w:szCs w:val="22"/>
              </w:rPr>
              <w:t>1998.</w:t>
            </w:r>
          </w:p>
          <w:p w:rsidR="002A669F" w:rsidRPr="00016351" w:rsidRDefault="002A669F" w:rsidP="002A669F">
            <w:pPr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016351">
              <w:rPr>
                <w:sz w:val="22"/>
                <w:szCs w:val="22"/>
              </w:rPr>
              <w:t>Szücs</w:t>
            </w:r>
            <w:proofErr w:type="spellEnd"/>
            <w:r w:rsidRPr="00016351">
              <w:rPr>
                <w:sz w:val="22"/>
                <w:szCs w:val="22"/>
              </w:rPr>
              <w:t xml:space="preserve"> J. </w:t>
            </w:r>
            <w:proofErr w:type="spellStart"/>
            <w:r w:rsidRPr="00016351">
              <w:rPr>
                <w:sz w:val="22"/>
                <w:szCs w:val="22"/>
              </w:rPr>
              <w:t>Trzy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Europy</w:t>
            </w:r>
            <w:proofErr w:type="spellEnd"/>
            <w:r w:rsidRPr="00016351">
              <w:rPr>
                <w:sz w:val="22"/>
                <w:szCs w:val="22"/>
              </w:rPr>
              <w:t>. - Lublin,</w:t>
            </w:r>
            <w:r w:rsidRPr="00016351">
              <w:rPr>
                <w:spacing w:val="-11"/>
                <w:sz w:val="22"/>
                <w:szCs w:val="22"/>
              </w:rPr>
              <w:t xml:space="preserve"> </w:t>
            </w:r>
            <w:r w:rsidRPr="00016351">
              <w:rPr>
                <w:sz w:val="22"/>
                <w:szCs w:val="22"/>
              </w:rPr>
              <w:t>1995.</w:t>
            </w:r>
          </w:p>
          <w:p w:rsidR="002A669F" w:rsidRPr="00016351" w:rsidRDefault="002A669F" w:rsidP="00BA165C">
            <w:pPr>
              <w:rPr>
                <w:sz w:val="22"/>
                <w:szCs w:val="22"/>
                <w:lang w:val="lt-LT"/>
              </w:rPr>
            </w:pPr>
          </w:p>
        </w:tc>
      </w:tr>
      <w:tr w:rsidR="00D83738" w:rsidRPr="00016351" w:rsidTr="00924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016351" w:rsidRDefault="00027F73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lastRenderedPageBreak/>
              <w:t>Supervising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lecturers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‘ </w:t>
            </w:r>
            <w:proofErr w:type="spellStart"/>
            <w:r w:rsidR="00B65DF1" w:rsidRPr="00016351">
              <w:rPr>
                <w:sz w:val="22"/>
                <w:szCs w:val="22"/>
                <w:lang w:val="lt-LT"/>
              </w:rPr>
              <w:t>names</w:t>
            </w:r>
            <w:proofErr w:type="spellEnd"/>
            <w:r w:rsidR="00883F45"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883F45" w:rsidRPr="00016351">
              <w:rPr>
                <w:sz w:val="22"/>
                <w:szCs w:val="22"/>
                <w:lang w:val="lt-LT"/>
              </w:rPr>
              <w:t>and</w:t>
            </w:r>
            <w:proofErr w:type="spellEnd"/>
            <w:r w:rsidR="00883F45"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883F45" w:rsidRPr="00016351">
              <w:rPr>
                <w:sz w:val="22"/>
                <w:szCs w:val="22"/>
                <w:lang w:val="lt-LT"/>
              </w:rPr>
              <w:t>surname</w:t>
            </w:r>
            <w:r w:rsidR="00B65DF1" w:rsidRPr="00016351">
              <w:rPr>
                <w:sz w:val="22"/>
                <w:szCs w:val="22"/>
                <w:lang w:val="lt-LT"/>
              </w:rPr>
              <w:t>s</w:t>
            </w:r>
            <w:proofErr w:type="spellEnd"/>
            <w:r w:rsidR="00883F45" w:rsidRPr="00016351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016351" w:rsidRDefault="003171A5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Academic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degree</w:t>
            </w:r>
            <w:proofErr w:type="spellEnd"/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016351" w:rsidRDefault="00ED2DF9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  <w:lang w:val="lt-LT"/>
              </w:rPr>
              <w:t>Major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works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field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branch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published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recent</w:t>
            </w:r>
            <w:proofErr w:type="spellEnd"/>
            <w:r w:rsidRPr="00016351">
              <w:rPr>
                <w:sz w:val="22"/>
                <w:szCs w:val="22"/>
                <w:lang w:val="lt-LT"/>
              </w:rPr>
              <w:t xml:space="preserve"> 5 </w:t>
            </w:r>
            <w:proofErr w:type="spellStart"/>
            <w:r w:rsidRPr="00016351">
              <w:rPr>
                <w:sz w:val="22"/>
                <w:szCs w:val="22"/>
                <w:lang w:val="lt-LT"/>
              </w:rPr>
              <w:t>years</w:t>
            </w:r>
            <w:proofErr w:type="spellEnd"/>
          </w:p>
        </w:tc>
      </w:tr>
      <w:tr w:rsidR="00924E97" w:rsidRPr="00016351" w:rsidTr="00924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3"/>
        </w:trPr>
        <w:tc>
          <w:tcPr>
            <w:tcW w:w="2943" w:type="dxa"/>
            <w:tcBorders>
              <w:left w:val="single" w:sz="12" w:space="0" w:color="auto"/>
            </w:tcBorders>
          </w:tcPr>
          <w:p w:rsidR="00924E97" w:rsidRPr="00016351" w:rsidRDefault="00924E97" w:rsidP="00924E97">
            <w:pPr>
              <w:rPr>
                <w:b/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</w:rPr>
              <w:t>Alfredas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  <w:proofErr w:type="spellStart"/>
            <w:r w:rsidRPr="00016351">
              <w:rPr>
                <w:sz w:val="22"/>
                <w:szCs w:val="22"/>
              </w:rPr>
              <w:t>Bumblauskas</w:t>
            </w:r>
            <w:proofErr w:type="spellEnd"/>
          </w:p>
          <w:p w:rsidR="00924E97" w:rsidRPr="00016351" w:rsidRDefault="00924E97" w:rsidP="009E3BAD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24E97" w:rsidRPr="00016351" w:rsidRDefault="00924E97" w:rsidP="00924E97">
            <w:pPr>
              <w:rPr>
                <w:sz w:val="22"/>
                <w:szCs w:val="22"/>
                <w:lang w:val="lt-LT"/>
              </w:rPr>
            </w:pPr>
            <w:proofErr w:type="spellStart"/>
            <w:r w:rsidRPr="00016351">
              <w:rPr>
                <w:sz w:val="22"/>
                <w:szCs w:val="22"/>
              </w:rPr>
              <w:t>Dr.</w:t>
            </w:r>
            <w:proofErr w:type="spellEnd"/>
            <w:r w:rsidRPr="00016351">
              <w:rPr>
                <w:sz w:val="22"/>
                <w:szCs w:val="22"/>
              </w:rPr>
              <w:t xml:space="preserve"> (HP)</w:t>
            </w:r>
            <w:r w:rsidRPr="00016351">
              <w:rPr>
                <w:sz w:val="22"/>
                <w:szCs w:val="22"/>
              </w:rPr>
              <w:t>, Professor</w:t>
            </w:r>
          </w:p>
        </w:tc>
        <w:tc>
          <w:tcPr>
            <w:tcW w:w="4643" w:type="dxa"/>
            <w:tcBorders>
              <w:left w:val="single" w:sz="12" w:space="0" w:color="auto"/>
              <w:right w:val="single" w:sz="12" w:space="0" w:color="auto"/>
            </w:tcBorders>
          </w:tcPr>
          <w:p w:rsidR="00924E97" w:rsidRPr="00016351" w:rsidRDefault="00924E97" w:rsidP="00924E97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84"/>
              <w:jc w:val="both"/>
            </w:pPr>
            <w:r w:rsidRPr="00016351">
              <w:rPr>
                <w:i/>
                <w:iCs/>
              </w:rPr>
              <w:t>Alma</w:t>
            </w:r>
            <w:r w:rsidRPr="00016351">
              <w:rPr>
                <w:i/>
                <w:iCs/>
                <w:spacing w:val="1"/>
              </w:rPr>
              <w:t xml:space="preserve"> </w:t>
            </w:r>
            <w:proofErr w:type="spellStart"/>
            <w:r w:rsidRPr="00016351">
              <w:rPr>
                <w:i/>
                <w:iCs/>
              </w:rPr>
              <w:t>Mater</w:t>
            </w:r>
            <w:proofErr w:type="spellEnd"/>
            <w:r w:rsidRPr="00016351">
              <w:rPr>
                <w:i/>
                <w:iCs/>
                <w:spacing w:val="1"/>
              </w:rPr>
              <w:t xml:space="preserve"> </w:t>
            </w:r>
            <w:proofErr w:type="spellStart"/>
            <w:r w:rsidRPr="00016351">
              <w:rPr>
                <w:i/>
                <w:iCs/>
              </w:rPr>
              <w:t>Vilnensis</w:t>
            </w:r>
            <w:proofErr w:type="spellEnd"/>
            <w:r w:rsidRPr="00016351">
              <w:rPr>
                <w:i/>
                <w:iCs/>
              </w:rPr>
              <w:t>:</w:t>
            </w:r>
            <w:r w:rsidRPr="00016351">
              <w:rPr>
                <w:i/>
                <w:iCs/>
                <w:spacing w:val="1"/>
              </w:rPr>
              <w:t xml:space="preserve"> </w:t>
            </w:r>
            <w:r w:rsidRPr="00016351">
              <w:rPr>
                <w:i/>
                <w:iCs/>
              </w:rPr>
              <w:t>Vilniaus</w:t>
            </w:r>
            <w:r w:rsidRPr="00016351">
              <w:rPr>
                <w:i/>
                <w:iCs/>
                <w:spacing w:val="1"/>
              </w:rPr>
              <w:t xml:space="preserve"> </w:t>
            </w:r>
            <w:r w:rsidRPr="00016351">
              <w:rPr>
                <w:i/>
                <w:iCs/>
              </w:rPr>
              <w:t>universiteto</w:t>
            </w:r>
            <w:r w:rsidRPr="00016351">
              <w:rPr>
                <w:i/>
                <w:iCs/>
                <w:spacing w:val="1"/>
              </w:rPr>
              <w:t xml:space="preserve"> </w:t>
            </w:r>
            <w:r w:rsidRPr="00016351">
              <w:rPr>
                <w:i/>
                <w:iCs/>
              </w:rPr>
              <w:t>turtai</w:t>
            </w:r>
            <w:r w:rsidRPr="00016351">
              <w:rPr>
                <w:i/>
                <w:iCs/>
                <w:spacing w:val="1"/>
              </w:rPr>
              <w:t xml:space="preserve"> </w:t>
            </w:r>
            <w:r w:rsidRPr="00016351">
              <w:rPr>
                <w:i/>
                <w:iCs/>
              </w:rPr>
              <w:t>istorijos skersvėjuose (XVI-XXI amžiai)</w:t>
            </w:r>
            <w:r w:rsidRPr="00016351">
              <w:t>: kolektyvinė</w:t>
            </w:r>
            <w:r w:rsidRPr="00016351">
              <w:rPr>
                <w:spacing w:val="1"/>
              </w:rPr>
              <w:t xml:space="preserve"> </w:t>
            </w:r>
            <w:r w:rsidRPr="00016351">
              <w:t xml:space="preserve">monografija Vygintas Bronius </w:t>
            </w:r>
            <w:proofErr w:type="spellStart"/>
            <w:r w:rsidRPr="00016351">
              <w:t>Pšibilskis</w:t>
            </w:r>
            <w:proofErr w:type="spellEnd"/>
            <w:r w:rsidRPr="00016351">
              <w:t xml:space="preserve"> (atsakomasis</w:t>
            </w:r>
            <w:r w:rsidRPr="00016351">
              <w:rPr>
                <w:spacing w:val="-47"/>
              </w:rPr>
              <w:t xml:space="preserve"> </w:t>
            </w:r>
            <w:r w:rsidRPr="00016351">
              <w:t>redaktorius).</w:t>
            </w:r>
            <w:r w:rsidRPr="00016351">
              <w:rPr>
                <w:spacing w:val="1"/>
              </w:rPr>
              <w:t xml:space="preserve"> </w:t>
            </w:r>
            <w:r w:rsidRPr="00016351">
              <w:t>Vilnius:</w:t>
            </w:r>
            <w:r w:rsidRPr="00016351">
              <w:rPr>
                <w:spacing w:val="-2"/>
              </w:rPr>
              <w:t xml:space="preserve"> </w:t>
            </w:r>
            <w:r w:rsidRPr="00016351">
              <w:t>VU l-kla, 2016.</w:t>
            </w:r>
            <w:r w:rsidRPr="00016351">
              <w:rPr>
                <w:spacing w:val="3"/>
              </w:rPr>
              <w:t xml:space="preserve"> </w:t>
            </w:r>
            <w:r w:rsidRPr="00016351">
              <w:t>883p.</w:t>
            </w:r>
          </w:p>
          <w:p w:rsidR="00924E97" w:rsidRPr="00016351" w:rsidRDefault="00924E97" w:rsidP="00924E97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83"/>
              <w:jc w:val="both"/>
            </w:pPr>
            <w:r w:rsidRPr="00016351">
              <w:rPr>
                <w:i/>
                <w:iCs/>
              </w:rPr>
              <w:t>Būtovės slėpiniai</w:t>
            </w:r>
            <w:r w:rsidRPr="00016351">
              <w:t xml:space="preserve">. [T.] 2: </w:t>
            </w:r>
            <w:r w:rsidRPr="00016351">
              <w:rPr>
                <w:i/>
                <w:iCs/>
              </w:rPr>
              <w:t xml:space="preserve">Užmiršta Lietuva </w:t>
            </w:r>
            <w:r w:rsidRPr="00016351">
              <w:t>/ Alfredas</w:t>
            </w:r>
            <w:r w:rsidRPr="00016351">
              <w:rPr>
                <w:spacing w:val="1"/>
              </w:rPr>
              <w:t xml:space="preserve"> </w:t>
            </w:r>
            <w:r w:rsidRPr="00016351">
              <w:t>Bumblauskas, Edvardas Gudavičius; sudarė Aurimas</w:t>
            </w:r>
            <w:r w:rsidRPr="00016351">
              <w:rPr>
                <w:spacing w:val="1"/>
              </w:rPr>
              <w:t xml:space="preserve"> </w:t>
            </w:r>
            <w:r w:rsidRPr="00016351">
              <w:t>Švedas. – Vilnius:</w:t>
            </w:r>
            <w:r w:rsidRPr="00016351">
              <w:rPr>
                <w:spacing w:val="1"/>
              </w:rPr>
              <w:t xml:space="preserve"> </w:t>
            </w:r>
            <w:r w:rsidRPr="00016351">
              <w:t>Alma</w:t>
            </w:r>
            <w:r w:rsidRPr="00016351">
              <w:rPr>
                <w:spacing w:val="-1"/>
              </w:rPr>
              <w:t xml:space="preserve"> </w:t>
            </w:r>
            <w:proofErr w:type="spellStart"/>
            <w:r w:rsidRPr="00016351">
              <w:t>littera</w:t>
            </w:r>
            <w:proofErr w:type="spellEnd"/>
            <w:r w:rsidRPr="00016351">
              <w:t>, 2016.</w:t>
            </w:r>
            <w:r w:rsidRPr="00016351">
              <w:rPr>
                <w:spacing w:val="4"/>
              </w:rPr>
              <w:t xml:space="preserve"> </w:t>
            </w:r>
            <w:r w:rsidRPr="00016351">
              <w:t>560 p.</w:t>
            </w:r>
          </w:p>
          <w:p w:rsidR="00924E97" w:rsidRPr="00016351" w:rsidRDefault="00924E97" w:rsidP="00924E97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79"/>
              <w:jc w:val="both"/>
            </w:pPr>
            <w:r w:rsidRPr="00016351">
              <w:rPr>
                <w:i/>
                <w:iCs/>
              </w:rPr>
              <w:t>Būtovės</w:t>
            </w:r>
            <w:r w:rsidRPr="00016351">
              <w:rPr>
                <w:i/>
                <w:iCs/>
                <w:spacing w:val="1"/>
              </w:rPr>
              <w:t xml:space="preserve"> </w:t>
            </w:r>
            <w:r w:rsidRPr="00016351">
              <w:rPr>
                <w:i/>
                <w:iCs/>
              </w:rPr>
              <w:t>slėpiniai</w:t>
            </w:r>
            <w:r w:rsidRPr="00016351">
              <w:t>.</w:t>
            </w:r>
            <w:r w:rsidRPr="00016351">
              <w:rPr>
                <w:spacing w:val="1"/>
              </w:rPr>
              <w:t xml:space="preserve"> </w:t>
            </w:r>
            <w:r w:rsidRPr="00016351">
              <w:t>[T.]</w:t>
            </w:r>
            <w:r w:rsidRPr="00016351">
              <w:rPr>
                <w:spacing w:val="1"/>
              </w:rPr>
              <w:t xml:space="preserve"> </w:t>
            </w:r>
            <w:r w:rsidRPr="00016351">
              <w:t>3,</w:t>
            </w:r>
            <w:r w:rsidRPr="00016351">
              <w:rPr>
                <w:spacing w:val="1"/>
              </w:rPr>
              <w:t xml:space="preserve"> </w:t>
            </w:r>
            <w:r w:rsidRPr="00016351">
              <w:rPr>
                <w:i/>
                <w:iCs/>
              </w:rPr>
              <w:t>Lietuvos</w:t>
            </w:r>
            <w:r w:rsidRPr="00016351">
              <w:rPr>
                <w:i/>
                <w:iCs/>
                <w:spacing w:val="1"/>
              </w:rPr>
              <w:t xml:space="preserve"> </w:t>
            </w:r>
            <w:r w:rsidRPr="00016351">
              <w:rPr>
                <w:i/>
                <w:iCs/>
              </w:rPr>
              <w:t>vartai</w:t>
            </w:r>
            <w:r w:rsidRPr="00016351">
              <w:rPr>
                <w:i/>
                <w:iCs/>
                <w:spacing w:val="1"/>
              </w:rPr>
              <w:t xml:space="preserve"> </w:t>
            </w:r>
            <w:r w:rsidRPr="00016351">
              <w:rPr>
                <w:i/>
                <w:iCs/>
              </w:rPr>
              <w:t>į</w:t>
            </w:r>
            <w:r w:rsidRPr="00016351">
              <w:rPr>
                <w:i/>
                <w:iCs/>
                <w:spacing w:val="1"/>
              </w:rPr>
              <w:t xml:space="preserve"> </w:t>
            </w:r>
            <w:r w:rsidRPr="00016351">
              <w:rPr>
                <w:i/>
                <w:iCs/>
              </w:rPr>
              <w:t>jūrą</w:t>
            </w:r>
            <w:r w:rsidRPr="00016351">
              <w:rPr>
                <w:i/>
                <w:iCs/>
                <w:spacing w:val="1"/>
              </w:rPr>
              <w:t xml:space="preserve"> </w:t>
            </w:r>
            <w:r w:rsidRPr="00016351">
              <w:t>/</w:t>
            </w:r>
            <w:r w:rsidRPr="00016351">
              <w:rPr>
                <w:spacing w:val="1"/>
              </w:rPr>
              <w:t xml:space="preserve"> </w:t>
            </w:r>
            <w:r w:rsidRPr="00016351">
              <w:t>Alfredas Bumblauskas, Edvardas Gudavičius; sudarė</w:t>
            </w:r>
            <w:r w:rsidRPr="00016351">
              <w:rPr>
                <w:spacing w:val="1"/>
              </w:rPr>
              <w:t xml:space="preserve"> </w:t>
            </w:r>
            <w:r w:rsidRPr="00016351">
              <w:t>Aurimas</w:t>
            </w:r>
            <w:r w:rsidRPr="00016351">
              <w:rPr>
                <w:spacing w:val="1"/>
              </w:rPr>
              <w:t xml:space="preserve"> </w:t>
            </w:r>
            <w:r w:rsidRPr="00016351">
              <w:t>Švedas;</w:t>
            </w:r>
            <w:r w:rsidRPr="00016351">
              <w:rPr>
                <w:spacing w:val="1"/>
              </w:rPr>
              <w:t xml:space="preserve"> </w:t>
            </w:r>
            <w:r w:rsidRPr="00016351">
              <w:t>fotografijų</w:t>
            </w:r>
            <w:r w:rsidRPr="00016351">
              <w:rPr>
                <w:spacing w:val="1"/>
              </w:rPr>
              <w:t xml:space="preserve"> </w:t>
            </w:r>
            <w:r w:rsidRPr="00016351">
              <w:t>autorius</w:t>
            </w:r>
            <w:r w:rsidRPr="00016351">
              <w:rPr>
                <w:spacing w:val="1"/>
              </w:rPr>
              <w:t xml:space="preserve"> </w:t>
            </w:r>
            <w:r w:rsidRPr="00016351">
              <w:t>Algimantas</w:t>
            </w:r>
            <w:r w:rsidRPr="00016351">
              <w:rPr>
                <w:spacing w:val="-47"/>
              </w:rPr>
              <w:t xml:space="preserve"> </w:t>
            </w:r>
            <w:r w:rsidRPr="00016351">
              <w:t xml:space="preserve">Aleksandravičius. – Vilnius: Alma </w:t>
            </w:r>
            <w:proofErr w:type="spellStart"/>
            <w:r w:rsidRPr="00016351">
              <w:t>littera</w:t>
            </w:r>
            <w:proofErr w:type="spellEnd"/>
            <w:r w:rsidRPr="00016351">
              <w:t>, 2017.</w:t>
            </w:r>
            <w:r w:rsidRPr="00016351">
              <w:rPr>
                <w:spacing w:val="50"/>
              </w:rPr>
              <w:t xml:space="preserve"> </w:t>
            </w:r>
            <w:r w:rsidRPr="00016351">
              <w:t>359</w:t>
            </w:r>
            <w:r w:rsidRPr="00016351">
              <w:rPr>
                <w:spacing w:val="1"/>
              </w:rPr>
              <w:t xml:space="preserve"> </w:t>
            </w:r>
            <w:r w:rsidRPr="00016351">
              <w:t>p.</w:t>
            </w:r>
          </w:p>
          <w:p w:rsidR="00924E97" w:rsidRPr="00016351" w:rsidRDefault="00924E97" w:rsidP="00924E97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2"/>
              </w:tabs>
              <w:spacing w:line="230" w:lineRule="exact"/>
              <w:ind w:right="78"/>
              <w:jc w:val="both"/>
            </w:pPr>
            <w:r w:rsidRPr="00016351">
              <w:rPr>
                <w:i/>
                <w:iCs/>
              </w:rPr>
              <w:t>Lietuvos</w:t>
            </w:r>
            <w:r w:rsidRPr="00016351">
              <w:rPr>
                <w:i/>
                <w:iCs/>
                <w:spacing w:val="35"/>
              </w:rPr>
              <w:t xml:space="preserve"> </w:t>
            </w:r>
            <w:r w:rsidRPr="00016351">
              <w:rPr>
                <w:i/>
                <w:iCs/>
              </w:rPr>
              <w:t>istorija:</w:t>
            </w:r>
            <w:r w:rsidRPr="00016351">
              <w:rPr>
                <w:i/>
                <w:iCs/>
                <w:spacing w:val="37"/>
              </w:rPr>
              <w:t xml:space="preserve"> </w:t>
            </w:r>
            <w:r w:rsidRPr="00016351">
              <w:rPr>
                <w:i/>
                <w:iCs/>
              </w:rPr>
              <w:t>paaugusių</w:t>
            </w:r>
            <w:r w:rsidRPr="00016351">
              <w:rPr>
                <w:i/>
                <w:iCs/>
                <w:spacing w:val="35"/>
              </w:rPr>
              <w:t xml:space="preserve"> </w:t>
            </w:r>
            <w:r w:rsidRPr="00016351">
              <w:rPr>
                <w:i/>
                <w:iCs/>
              </w:rPr>
              <w:t>žmonių</w:t>
            </w:r>
            <w:r w:rsidRPr="00016351">
              <w:rPr>
                <w:i/>
                <w:iCs/>
                <w:spacing w:val="37"/>
              </w:rPr>
              <w:t xml:space="preserve"> </w:t>
            </w:r>
            <w:r w:rsidRPr="00016351">
              <w:rPr>
                <w:i/>
                <w:iCs/>
              </w:rPr>
              <w:t>knyga.</w:t>
            </w:r>
            <w:r w:rsidRPr="00016351">
              <w:rPr>
                <w:i/>
                <w:iCs/>
                <w:spacing w:val="40"/>
              </w:rPr>
              <w:t xml:space="preserve"> </w:t>
            </w:r>
            <w:r w:rsidRPr="00016351">
              <w:t>I</w:t>
            </w:r>
            <w:r w:rsidRPr="00016351">
              <w:rPr>
                <w:spacing w:val="35"/>
              </w:rPr>
              <w:t xml:space="preserve"> </w:t>
            </w:r>
            <w:r w:rsidRPr="00016351">
              <w:t>dalis</w:t>
            </w:r>
            <w:r w:rsidRPr="00016351">
              <w:rPr>
                <w:spacing w:val="36"/>
              </w:rPr>
              <w:t xml:space="preserve"> </w:t>
            </w:r>
            <w:r w:rsidRPr="00016351">
              <w:t>/</w:t>
            </w:r>
            <w:r w:rsidRPr="00016351">
              <w:rPr>
                <w:spacing w:val="-47"/>
              </w:rPr>
              <w:t xml:space="preserve"> </w:t>
            </w:r>
            <w:r w:rsidRPr="00016351">
              <w:t>Alfredas</w:t>
            </w:r>
            <w:r w:rsidRPr="00016351">
              <w:rPr>
                <w:spacing w:val="15"/>
              </w:rPr>
              <w:t xml:space="preserve"> </w:t>
            </w:r>
            <w:r w:rsidRPr="00016351">
              <w:t>Bumblauskas,</w:t>
            </w:r>
            <w:r w:rsidRPr="00016351">
              <w:rPr>
                <w:spacing w:val="16"/>
              </w:rPr>
              <w:t xml:space="preserve"> </w:t>
            </w:r>
            <w:r w:rsidRPr="00016351">
              <w:t>Mangirdas</w:t>
            </w:r>
            <w:r w:rsidRPr="00016351">
              <w:rPr>
                <w:spacing w:val="15"/>
              </w:rPr>
              <w:t xml:space="preserve"> </w:t>
            </w:r>
            <w:r w:rsidRPr="00016351">
              <w:t>Bumblauskas.</w:t>
            </w:r>
            <w:r w:rsidRPr="00016351">
              <w:rPr>
                <w:spacing w:val="21"/>
              </w:rPr>
              <w:t xml:space="preserve"> </w:t>
            </w:r>
            <w:r w:rsidRPr="00016351">
              <w:t>–</w:t>
            </w:r>
            <w:r w:rsidRPr="00016351">
              <w:rPr>
                <w:spacing w:val="-47"/>
              </w:rPr>
              <w:t xml:space="preserve"> </w:t>
            </w:r>
            <w:r w:rsidRPr="00016351">
              <w:t xml:space="preserve">Vilnius: "Baltų lankų" vadovėliai, 2017. 280 p., II dalis, </w:t>
            </w:r>
            <w:proofErr w:type="spellStart"/>
            <w:r w:rsidRPr="00016351">
              <w:t>ibid</w:t>
            </w:r>
            <w:proofErr w:type="spellEnd"/>
            <w:r w:rsidRPr="00016351">
              <w:t>., 2020, 223 p.</w:t>
            </w:r>
            <w:r w:rsidRPr="00016351">
              <w:rPr>
                <w:spacing w:val="1"/>
              </w:rPr>
              <w:t xml:space="preserve"> </w:t>
            </w:r>
          </w:p>
          <w:p w:rsidR="00924E97" w:rsidRPr="00016351" w:rsidRDefault="00924E97" w:rsidP="00924E97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2"/>
              </w:tabs>
              <w:spacing w:line="230" w:lineRule="exact"/>
              <w:ind w:right="78"/>
              <w:jc w:val="both"/>
            </w:pPr>
            <w:r w:rsidRPr="00016351">
              <w:rPr>
                <w:i/>
                <w:iCs/>
              </w:rPr>
              <w:t>Lietuvos</w:t>
            </w:r>
            <w:r w:rsidRPr="00016351">
              <w:rPr>
                <w:i/>
                <w:iCs/>
                <w:spacing w:val="6"/>
              </w:rPr>
              <w:t xml:space="preserve"> </w:t>
            </w:r>
            <w:r w:rsidRPr="00016351">
              <w:rPr>
                <w:i/>
                <w:iCs/>
              </w:rPr>
              <w:t>istorija</w:t>
            </w:r>
            <w:r w:rsidRPr="00016351">
              <w:rPr>
                <w:i/>
                <w:iCs/>
                <w:spacing w:val="6"/>
              </w:rPr>
              <w:t xml:space="preserve"> </w:t>
            </w:r>
            <w:r w:rsidRPr="00016351">
              <w:rPr>
                <w:i/>
                <w:iCs/>
              </w:rPr>
              <w:t>kiekvienam</w:t>
            </w:r>
            <w:r w:rsidRPr="00016351">
              <w:rPr>
                <w:i/>
                <w:iCs/>
                <w:spacing w:val="7"/>
              </w:rPr>
              <w:t xml:space="preserve"> </w:t>
            </w:r>
            <w:r w:rsidRPr="00016351">
              <w:t>/</w:t>
            </w:r>
            <w:r w:rsidRPr="00016351">
              <w:rPr>
                <w:spacing w:val="5"/>
              </w:rPr>
              <w:t xml:space="preserve"> </w:t>
            </w:r>
            <w:r w:rsidRPr="00016351">
              <w:t>A.</w:t>
            </w:r>
            <w:r w:rsidRPr="00016351">
              <w:rPr>
                <w:spacing w:val="7"/>
              </w:rPr>
              <w:t xml:space="preserve"> </w:t>
            </w:r>
            <w:r w:rsidRPr="00016351">
              <w:t>Bumblauskas,</w:t>
            </w:r>
            <w:r w:rsidRPr="00016351">
              <w:rPr>
                <w:spacing w:val="8"/>
              </w:rPr>
              <w:t xml:space="preserve"> </w:t>
            </w:r>
            <w:r w:rsidRPr="00016351">
              <w:t xml:space="preserve">A. Eidintas, A. </w:t>
            </w:r>
            <w:proofErr w:type="spellStart"/>
            <w:r w:rsidRPr="00016351">
              <w:t>Kulakauskas</w:t>
            </w:r>
            <w:proofErr w:type="spellEnd"/>
            <w:r w:rsidRPr="00016351">
              <w:t xml:space="preserve">, M. Tamošaitis.; sudarytojas ir dalykinis redaktorius Alfonsas Eidintas. – Vilnius: Mokslo ir enciklopedijų leidybos centras, </w:t>
            </w:r>
            <w:r w:rsidRPr="00016351">
              <w:lastRenderedPageBreak/>
              <w:t>2018. 439 p.</w:t>
            </w:r>
          </w:p>
          <w:p w:rsidR="00924E97" w:rsidRPr="00016351" w:rsidRDefault="00924E97" w:rsidP="00924E97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2"/>
              </w:tabs>
              <w:spacing w:line="230" w:lineRule="exact"/>
              <w:ind w:right="78"/>
              <w:jc w:val="both"/>
            </w:pPr>
            <w:proofErr w:type="spellStart"/>
            <w:r w:rsidRPr="00016351">
              <w:t>I</w:t>
            </w:r>
            <w:hyperlink r:id="rId6">
              <w:r w:rsidRPr="00016351">
                <w:rPr>
                  <w:rStyle w:val="Hyperlink"/>
                </w:rPr>
                <w:t>dee</w:t>
              </w:r>
              <w:proofErr w:type="spellEnd"/>
              <w:r w:rsidRPr="00016351">
                <w:rPr>
                  <w:rStyle w:val="Hyperlink"/>
                </w:rPr>
                <w:t xml:space="preserve"> </w:t>
              </w:r>
              <w:proofErr w:type="spellStart"/>
              <w:r w:rsidRPr="00016351">
                <w:rPr>
                  <w:rStyle w:val="Hyperlink"/>
                </w:rPr>
                <w:t>Józefa</w:t>
              </w:r>
              <w:proofErr w:type="spellEnd"/>
              <w:r w:rsidRPr="00016351">
                <w:rPr>
                  <w:rStyle w:val="Hyperlink"/>
                </w:rPr>
                <w:t xml:space="preserve"> </w:t>
              </w:r>
              <w:proofErr w:type="spellStart"/>
              <w:r w:rsidRPr="00016351">
                <w:rPr>
                  <w:rStyle w:val="Hyperlink"/>
                </w:rPr>
                <w:t>Maroszka</w:t>
              </w:r>
              <w:proofErr w:type="spellEnd"/>
              <w:r w:rsidRPr="00016351">
                <w:rPr>
                  <w:rStyle w:val="Hyperlink"/>
                </w:rPr>
                <w:t xml:space="preserve"> w </w:t>
              </w:r>
              <w:proofErr w:type="spellStart"/>
              <w:r w:rsidRPr="00016351">
                <w:rPr>
                  <w:rStyle w:val="Hyperlink"/>
                </w:rPr>
                <w:t>poznaniu</w:t>
              </w:r>
              <w:proofErr w:type="spellEnd"/>
              <w:r w:rsidRPr="00016351">
                <w:rPr>
                  <w:rStyle w:val="Hyperlink"/>
                </w:rPr>
                <w:t xml:space="preserve"> </w:t>
              </w:r>
              <w:proofErr w:type="spellStart"/>
              <w:r w:rsidRPr="00016351">
                <w:rPr>
                  <w:rStyle w:val="Hyperlink"/>
                </w:rPr>
                <w:t>dziejów</w:t>
              </w:r>
              <w:proofErr w:type="spellEnd"/>
              <w:r w:rsidRPr="00016351">
                <w:rPr>
                  <w:rStyle w:val="Hyperlink"/>
                </w:rPr>
                <w:t xml:space="preserve"> </w:t>
              </w:r>
              <w:proofErr w:type="spellStart"/>
              <w:r w:rsidRPr="00016351">
                <w:rPr>
                  <w:rStyle w:val="Hyperlink"/>
                </w:rPr>
                <w:t>Wielkiego</w:t>
              </w:r>
              <w:proofErr w:type="spellEnd"/>
              <w:r w:rsidRPr="00016351">
                <w:rPr>
                  <w:rStyle w:val="Hyperlink"/>
                </w:rPr>
                <w:t xml:space="preserve"> </w:t>
              </w:r>
              <w:proofErr w:type="spellStart"/>
              <w:r w:rsidRPr="00016351">
                <w:rPr>
                  <w:rStyle w:val="Hyperlink"/>
                </w:rPr>
                <w:t>Księstwa</w:t>
              </w:r>
              <w:proofErr w:type="spellEnd"/>
              <w:r w:rsidRPr="00016351">
                <w:rPr>
                  <w:rStyle w:val="Hyperlink"/>
                </w:rPr>
                <w:t xml:space="preserve"> </w:t>
              </w:r>
              <w:proofErr w:type="spellStart"/>
              <w:r w:rsidRPr="00016351">
                <w:rPr>
                  <w:rStyle w:val="Hyperlink"/>
                </w:rPr>
                <w:t>Litewskiego</w:t>
              </w:r>
              <w:proofErr w:type="spellEnd"/>
              <w:r w:rsidRPr="00016351">
                <w:rPr>
                  <w:rStyle w:val="Hyperlink"/>
                </w:rPr>
                <w:t xml:space="preserve"> i </w:t>
              </w:r>
              <w:proofErr w:type="spellStart"/>
              <w:r w:rsidRPr="00016351">
                <w:rPr>
                  <w:rStyle w:val="Hyperlink"/>
                </w:rPr>
                <w:t>Wilna</w:t>
              </w:r>
              <w:proofErr w:type="spellEnd"/>
              <w:r w:rsidRPr="00016351">
                <w:rPr>
                  <w:rStyle w:val="Hyperlink"/>
                </w:rPr>
                <w:t xml:space="preserve"> – </w:t>
              </w:r>
              <w:proofErr w:type="spellStart"/>
              <w:r w:rsidRPr="00016351">
                <w:rPr>
                  <w:rStyle w:val="Hyperlink"/>
                </w:rPr>
                <w:t>konteksty</w:t>
              </w:r>
              <w:proofErr w:type="spellEnd"/>
              <w:r w:rsidRPr="00016351">
                <w:rPr>
                  <w:rStyle w:val="Hyperlink"/>
                </w:rPr>
                <w:t xml:space="preserve"> </w:t>
              </w:r>
              <w:proofErr w:type="spellStart"/>
              <w:r w:rsidRPr="00016351">
                <w:rPr>
                  <w:rStyle w:val="Hyperlink"/>
                </w:rPr>
                <w:t>historiografii</w:t>
              </w:r>
              <w:proofErr w:type="spellEnd"/>
              <w:r w:rsidRPr="00016351">
                <w:rPr>
                  <w:rStyle w:val="Hyperlink"/>
                </w:rPr>
                <w:t xml:space="preserve"> </w:t>
              </w:r>
              <w:proofErr w:type="spellStart"/>
              <w:r w:rsidRPr="00016351">
                <w:rPr>
                  <w:rStyle w:val="Hyperlink"/>
                </w:rPr>
                <w:t>litewskiej</w:t>
              </w:r>
              <w:proofErr w:type="spellEnd"/>
            </w:hyperlink>
            <w:r w:rsidRPr="00016351">
              <w:t xml:space="preserve"> / </w:t>
            </w:r>
            <w:proofErr w:type="spellStart"/>
            <w:r w:rsidRPr="00016351">
              <w:rPr>
                <w:color w:val="1D1D1C"/>
              </w:rPr>
              <w:t>Historia</w:t>
            </w:r>
            <w:proofErr w:type="spellEnd"/>
            <w:r w:rsidRPr="00016351">
              <w:rPr>
                <w:color w:val="1D1D1C"/>
              </w:rPr>
              <w:t xml:space="preserve">, </w:t>
            </w:r>
            <w:proofErr w:type="spellStart"/>
            <w:r w:rsidRPr="00016351">
              <w:rPr>
                <w:color w:val="1D1D1C"/>
              </w:rPr>
              <w:t>tradycja</w:t>
            </w:r>
            <w:proofErr w:type="spellEnd"/>
            <w:r w:rsidRPr="00016351">
              <w:rPr>
                <w:color w:val="1D1D1C"/>
              </w:rPr>
              <w:t xml:space="preserve">, </w:t>
            </w:r>
            <w:proofErr w:type="spellStart"/>
            <w:r w:rsidRPr="00016351">
              <w:rPr>
                <w:color w:val="1D1D1C"/>
              </w:rPr>
              <w:t>pamięć</w:t>
            </w:r>
            <w:proofErr w:type="spellEnd"/>
            <w:r w:rsidRPr="00016351">
              <w:rPr>
                <w:color w:val="1D1D1C"/>
              </w:rPr>
              <w:t xml:space="preserve">: </w:t>
            </w:r>
            <w:proofErr w:type="spellStart"/>
            <w:r w:rsidRPr="00016351">
              <w:rPr>
                <w:color w:val="1D1D1C"/>
              </w:rPr>
              <w:t>prace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ofiarowane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Profesorowi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Józefowi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Maroszkowi</w:t>
            </w:r>
            <w:proofErr w:type="spellEnd"/>
            <w:r w:rsidRPr="00016351">
              <w:rPr>
                <w:color w:val="1D1D1C"/>
              </w:rPr>
              <w:t xml:space="preserve"> w </w:t>
            </w:r>
            <w:proofErr w:type="spellStart"/>
            <w:r w:rsidRPr="00016351">
              <w:rPr>
                <w:color w:val="1D1D1C"/>
              </w:rPr>
              <w:t>siedemdziesiątą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rocznicę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urodzin</w:t>
            </w:r>
            <w:proofErr w:type="spellEnd"/>
            <w:r w:rsidRPr="00016351">
              <w:rPr>
                <w:color w:val="1D1D1C"/>
              </w:rPr>
              <w:t xml:space="preserve"> / </w:t>
            </w:r>
            <w:proofErr w:type="spellStart"/>
            <w:r w:rsidRPr="00016351">
              <w:rPr>
                <w:color w:val="1D1D1C"/>
              </w:rPr>
              <w:t>pod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redakcja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Ewy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Rogalewskiej</w:t>
            </w:r>
            <w:proofErr w:type="spellEnd"/>
            <w:r w:rsidRPr="00016351">
              <w:rPr>
                <w:color w:val="1D1D1C"/>
              </w:rPr>
              <w:t xml:space="preserve">. </w:t>
            </w:r>
            <w:proofErr w:type="spellStart"/>
            <w:r w:rsidRPr="00016351">
              <w:rPr>
                <w:color w:val="1D1D1C"/>
              </w:rPr>
              <w:t>Białystok</w:t>
            </w:r>
            <w:proofErr w:type="spellEnd"/>
            <w:r w:rsidRPr="00016351">
              <w:rPr>
                <w:color w:val="1D1D1C"/>
              </w:rPr>
              <w:t xml:space="preserve"> : </w:t>
            </w:r>
            <w:proofErr w:type="spellStart"/>
            <w:r w:rsidRPr="00016351">
              <w:rPr>
                <w:color w:val="1D1D1C"/>
              </w:rPr>
              <w:t>Białostockie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Towarzystwo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Naukowe</w:t>
            </w:r>
            <w:proofErr w:type="spellEnd"/>
            <w:r w:rsidRPr="00016351">
              <w:rPr>
                <w:color w:val="1D1D1C"/>
              </w:rPr>
              <w:t xml:space="preserve">; </w:t>
            </w:r>
            <w:proofErr w:type="spellStart"/>
            <w:r w:rsidRPr="00016351">
              <w:rPr>
                <w:color w:val="1D1D1C"/>
              </w:rPr>
              <w:t>Centrum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Kultury</w:t>
            </w:r>
            <w:proofErr w:type="spellEnd"/>
            <w:r w:rsidRPr="00016351">
              <w:rPr>
                <w:color w:val="1D1D1C"/>
              </w:rPr>
              <w:t xml:space="preserve"> i </w:t>
            </w:r>
            <w:proofErr w:type="spellStart"/>
            <w:r w:rsidRPr="00016351">
              <w:rPr>
                <w:color w:val="1D1D1C"/>
              </w:rPr>
              <w:t>Rekreacji</w:t>
            </w:r>
            <w:proofErr w:type="spellEnd"/>
            <w:r w:rsidRPr="00016351">
              <w:rPr>
                <w:color w:val="1D1D1C"/>
              </w:rPr>
              <w:t xml:space="preserve"> w </w:t>
            </w:r>
            <w:proofErr w:type="spellStart"/>
            <w:r w:rsidRPr="00016351">
              <w:rPr>
                <w:color w:val="1D1D1C"/>
              </w:rPr>
              <w:t>Supraślu</w:t>
            </w:r>
            <w:proofErr w:type="spellEnd"/>
            <w:r w:rsidRPr="00016351">
              <w:rPr>
                <w:color w:val="1D1D1C"/>
              </w:rPr>
              <w:t>, 2020. p. 61-68.</w:t>
            </w:r>
          </w:p>
          <w:p w:rsidR="00924E97" w:rsidRPr="00016351" w:rsidRDefault="00924E97" w:rsidP="00924E97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2"/>
              </w:tabs>
              <w:spacing w:line="230" w:lineRule="exact"/>
              <w:ind w:right="78"/>
              <w:jc w:val="both"/>
              <w:rPr>
                <w:color w:val="1D1D1C"/>
              </w:rPr>
            </w:pPr>
            <w:r w:rsidRPr="00016351">
              <w:rPr>
                <w:color w:val="1D1D1C"/>
              </w:rPr>
              <w:t xml:space="preserve">Bumblauskas, Alfredas; </w:t>
            </w:r>
            <w:proofErr w:type="spellStart"/>
            <w:r w:rsidRPr="00016351">
              <w:rPr>
                <w:color w:val="1D1D1C"/>
              </w:rPr>
              <w:t>Skurvydaitė</w:t>
            </w:r>
            <w:proofErr w:type="spellEnd"/>
            <w:r w:rsidRPr="00016351">
              <w:rPr>
                <w:color w:val="1D1D1C"/>
              </w:rPr>
              <w:t xml:space="preserve">, Loreta, </w:t>
            </w:r>
            <w:hyperlink r:id="rId7">
              <w:proofErr w:type="spellStart"/>
              <w:r w:rsidRPr="00016351">
                <w:rPr>
                  <w:rStyle w:val="Hyperlink"/>
                </w:rPr>
                <w:t>The</w:t>
              </w:r>
              <w:proofErr w:type="spellEnd"/>
              <w:r w:rsidRPr="00016351">
                <w:rPr>
                  <w:rStyle w:val="Hyperlink"/>
                </w:rPr>
                <w:t xml:space="preserve"> University </w:t>
              </w:r>
              <w:proofErr w:type="spellStart"/>
              <w:r w:rsidRPr="00016351">
                <w:rPr>
                  <w:rStyle w:val="Hyperlink"/>
                </w:rPr>
                <w:t>of</w:t>
              </w:r>
              <w:proofErr w:type="spellEnd"/>
              <w:r w:rsidRPr="00016351">
                <w:rPr>
                  <w:rStyle w:val="Hyperlink"/>
                </w:rPr>
                <w:t xml:space="preserve"> Vilnius </w:t>
              </w:r>
              <w:proofErr w:type="spellStart"/>
              <w:r w:rsidRPr="00016351">
                <w:rPr>
                  <w:rStyle w:val="Hyperlink"/>
                </w:rPr>
                <w:t>and</w:t>
              </w:r>
              <w:proofErr w:type="spellEnd"/>
              <w:r w:rsidRPr="00016351">
                <w:rPr>
                  <w:rStyle w:val="Hyperlink"/>
                </w:rPr>
                <w:t xml:space="preserve"> </w:t>
              </w:r>
              <w:proofErr w:type="spellStart"/>
              <w:r w:rsidRPr="00016351">
                <w:rPr>
                  <w:rStyle w:val="Hyperlink"/>
                </w:rPr>
                <w:t>its</w:t>
              </w:r>
              <w:proofErr w:type="spellEnd"/>
              <w:r w:rsidRPr="00016351">
                <w:rPr>
                  <w:rStyle w:val="Hyperlink"/>
                </w:rPr>
                <w:t xml:space="preserve"> „</w:t>
              </w:r>
              <w:proofErr w:type="spellStart"/>
              <w:r w:rsidRPr="00016351">
                <w:rPr>
                  <w:rStyle w:val="Hyperlink"/>
                </w:rPr>
                <w:t>Golden</w:t>
              </w:r>
              <w:proofErr w:type="spellEnd"/>
              <w:r w:rsidRPr="00016351">
                <w:rPr>
                  <w:rStyle w:val="Hyperlink"/>
                </w:rPr>
                <w:t xml:space="preserve"> </w:t>
              </w:r>
              <w:proofErr w:type="spellStart"/>
              <w:r w:rsidRPr="00016351">
                <w:rPr>
                  <w:rStyle w:val="Hyperlink"/>
                </w:rPr>
                <w:t>age</w:t>
              </w:r>
              <w:proofErr w:type="spellEnd"/>
              <w:r w:rsidRPr="00016351">
                <w:rPr>
                  <w:rStyle w:val="Hyperlink"/>
                </w:rPr>
                <w:t xml:space="preserve">”: </w:t>
              </w:r>
              <w:proofErr w:type="spellStart"/>
              <w:r w:rsidRPr="00016351">
                <w:rPr>
                  <w:rStyle w:val="Hyperlink"/>
                </w:rPr>
                <w:t>introduction</w:t>
              </w:r>
              <w:proofErr w:type="spellEnd"/>
              <w:r w:rsidRPr="00016351">
                <w:rPr>
                  <w:rStyle w:val="Hyperlink"/>
                </w:rPr>
                <w:t xml:space="preserve"> </w:t>
              </w:r>
              <w:proofErr w:type="spellStart"/>
              <w:r w:rsidRPr="00016351">
                <w:rPr>
                  <w:rStyle w:val="Hyperlink"/>
                </w:rPr>
                <w:t>into</w:t>
              </w:r>
              <w:proofErr w:type="spellEnd"/>
              <w:r w:rsidRPr="00016351">
                <w:rPr>
                  <w:rStyle w:val="Hyperlink"/>
                </w:rPr>
                <w:t xml:space="preserve"> </w:t>
              </w:r>
              <w:proofErr w:type="spellStart"/>
              <w:r w:rsidRPr="00016351">
                <w:rPr>
                  <w:rStyle w:val="Hyperlink"/>
                </w:rPr>
                <w:t>the</w:t>
              </w:r>
              <w:proofErr w:type="spellEnd"/>
              <w:r w:rsidRPr="00016351">
                <w:rPr>
                  <w:rStyle w:val="Hyperlink"/>
                </w:rPr>
                <w:t xml:space="preserve"> 1803–1832 </w:t>
              </w:r>
              <w:proofErr w:type="spellStart"/>
              <w:r w:rsidRPr="00016351">
                <w:rPr>
                  <w:rStyle w:val="Hyperlink"/>
                </w:rPr>
                <w:t>epochs</w:t>
              </w:r>
              <w:proofErr w:type="spellEnd"/>
            </w:hyperlink>
            <w:r w:rsidRPr="00016351">
              <w:t xml:space="preserve"> /</w:t>
            </w:r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Archiwum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Emigracji</w:t>
            </w:r>
            <w:proofErr w:type="spellEnd"/>
            <w:r w:rsidRPr="00016351">
              <w:rPr>
                <w:color w:val="1D1D1C"/>
              </w:rPr>
              <w:t xml:space="preserve">. 2018–2019. </w:t>
            </w:r>
            <w:proofErr w:type="spellStart"/>
            <w:r w:rsidRPr="00016351">
              <w:rPr>
                <w:color w:val="1D1D1C"/>
              </w:rPr>
              <w:t>Toruń</w:t>
            </w:r>
            <w:proofErr w:type="spellEnd"/>
            <w:r w:rsidRPr="00016351">
              <w:rPr>
                <w:color w:val="1D1D1C"/>
              </w:rPr>
              <w:t xml:space="preserve"> : </w:t>
            </w:r>
            <w:proofErr w:type="spellStart"/>
            <w:r w:rsidRPr="00016351">
              <w:rPr>
                <w:color w:val="1D1D1C"/>
              </w:rPr>
              <w:t>Uniwersytet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Mikołaja</w:t>
            </w:r>
            <w:proofErr w:type="spellEnd"/>
            <w:r w:rsidRPr="00016351">
              <w:rPr>
                <w:color w:val="1D1D1C"/>
              </w:rPr>
              <w:t xml:space="preserve"> </w:t>
            </w:r>
            <w:proofErr w:type="spellStart"/>
            <w:r w:rsidRPr="00016351">
              <w:rPr>
                <w:color w:val="1D1D1C"/>
              </w:rPr>
              <w:t>Kopernika</w:t>
            </w:r>
            <w:proofErr w:type="spellEnd"/>
            <w:r w:rsidRPr="00016351">
              <w:rPr>
                <w:color w:val="1D1D1C"/>
              </w:rPr>
              <w:t>. 2020, z. (1–2) 26–27, p. 79-111.</w:t>
            </w:r>
          </w:p>
          <w:p w:rsidR="00924E97" w:rsidRPr="00016351" w:rsidRDefault="00924E97" w:rsidP="00924E97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2"/>
              </w:tabs>
              <w:spacing w:line="230" w:lineRule="exact"/>
              <w:ind w:right="78"/>
              <w:jc w:val="both"/>
              <w:rPr>
                <w:color w:val="1D1D1C"/>
              </w:rPr>
            </w:pPr>
            <w:r w:rsidRPr="00016351">
              <w:rPr>
                <w:color w:val="1D1D1C"/>
              </w:rPr>
              <w:t>Edvardas Gudavičius: Žmogus - istorijos meistras – akmuo / Lietuvos istorijos studijos. Vilnius : Vilniaus universiteto leidykla. 2020, t. 45, p. 8-21.</w:t>
            </w:r>
          </w:p>
          <w:p w:rsidR="00924E97" w:rsidRPr="00016351" w:rsidRDefault="00924E97" w:rsidP="00B248BB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A965CE" w:rsidRPr="00016351" w:rsidTr="00924E97">
        <w:tc>
          <w:tcPr>
            <w:tcW w:w="9286" w:type="dxa"/>
            <w:gridSpan w:val="3"/>
          </w:tcPr>
          <w:p w:rsidR="009404F1" w:rsidRPr="00016351" w:rsidRDefault="009404F1" w:rsidP="009404F1">
            <w:pPr>
              <w:pStyle w:val="TableParagraph"/>
              <w:ind w:right="163"/>
            </w:pPr>
            <w:proofErr w:type="spellStart"/>
            <w:r w:rsidRPr="00016351">
              <w:lastRenderedPageBreak/>
              <w:t>Approved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by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the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Doctoral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Committee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of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History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and</w:t>
            </w:r>
            <w:proofErr w:type="spellEnd"/>
            <w:r w:rsidRPr="00016351">
              <w:t xml:space="preserve"> </w:t>
            </w:r>
            <w:proofErr w:type="spellStart"/>
            <w:r w:rsidRPr="00016351">
              <w:t>Archaeology</w:t>
            </w:r>
            <w:proofErr w:type="spellEnd"/>
            <w:r w:rsidRPr="00016351">
              <w:t xml:space="preserve"> </w:t>
            </w:r>
          </w:p>
          <w:p w:rsidR="00A965CE" w:rsidRPr="00016351" w:rsidRDefault="009404F1" w:rsidP="00C31F08">
            <w:pPr>
              <w:pStyle w:val="TableParagraph"/>
              <w:tabs>
                <w:tab w:val="left" w:pos="7546"/>
                <w:tab w:val="left" w:pos="8094"/>
              </w:tabs>
              <w:spacing w:before="7" w:line="247" w:lineRule="auto"/>
              <w:ind w:right="142"/>
            </w:pPr>
            <w:r w:rsidRPr="00016351">
              <w:t xml:space="preserve">28 </w:t>
            </w:r>
            <w:proofErr w:type="spellStart"/>
            <w:r w:rsidRPr="00016351">
              <w:t>September</w:t>
            </w:r>
            <w:proofErr w:type="spellEnd"/>
            <w:r w:rsidRPr="00016351">
              <w:t xml:space="preserve"> 2021, </w:t>
            </w:r>
            <w:proofErr w:type="spellStart"/>
            <w:r w:rsidRPr="00016351">
              <w:t>No</w:t>
            </w:r>
            <w:proofErr w:type="spellEnd"/>
            <w:r w:rsidRPr="00016351">
              <w:t xml:space="preserve"> 170000-KT-47.</w:t>
            </w:r>
          </w:p>
        </w:tc>
        <w:bookmarkStart w:id="0" w:name="_GoBack"/>
        <w:bookmarkEnd w:id="0"/>
      </w:tr>
      <w:tr w:rsidR="00A965CE" w:rsidRPr="00016351" w:rsidTr="00924E97">
        <w:tc>
          <w:tcPr>
            <w:tcW w:w="9286" w:type="dxa"/>
            <w:gridSpan w:val="3"/>
          </w:tcPr>
          <w:p w:rsidR="00A965CE" w:rsidRPr="00016351" w:rsidRDefault="00B72167" w:rsidP="00A965CE">
            <w:pPr>
              <w:spacing w:before="120" w:after="120"/>
              <w:rPr>
                <w:sz w:val="22"/>
                <w:szCs w:val="22"/>
                <w:lang w:val="lt-LT"/>
              </w:rPr>
            </w:pPr>
            <w:r w:rsidRPr="00016351">
              <w:rPr>
                <w:sz w:val="22"/>
                <w:szCs w:val="22"/>
              </w:rPr>
              <w:t xml:space="preserve">Chair of the Doctoral Committee Prof. </w:t>
            </w:r>
            <w:proofErr w:type="spellStart"/>
            <w:r w:rsidRPr="00016351">
              <w:rPr>
                <w:sz w:val="22"/>
                <w:szCs w:val="22"/>
              </w:rPr>
              <w:t>habil</w:t>
            </w:r>
            <w:proofErr w:type="spellEnd"/>
            <w:r w:rsidRPr="00016351">
              <w:rPr>
                <w:sz w:val="22"/>
                <w:szCs w:val="22"/>
              </w:rPr>
              <w:t>.</w:t>
            </w:r>
            <w:r w:rsidR="00862EAA" w:rsidRPr="00016351">
              <w:rPr>
                <w:sz w:val="22"/>
                <w:szCs w:val="22"/>
              </w:rPr>
              <w:t xml:space="preserve"> </w:t>
            </w:r>
            <w:r w:rsidRPr="00016351">
              <w:rPr>
                <w:sz w:val="22"/>
                <w:szCs w:val="22"/>
              </w:rPr>
              <w:t xml:space="preserve">dr. Tamara </w:t>
            </w:r>
            <w:proofErr w:type="spellStart"/>
            <w:r w:rsidRPr="00016351">
              <w:rPr>
                <w:sz w:val="22"/>
                <w:szCs w:val="22"/>
              </w:rPr>
              <w:t>Bairašauskaitė</w:t>
            </w:r>
            <w:proofErr w:type="spellEnd"/>
            <w:r w:rsidRPr="00016351">
              <w:rPr>
                <w:sz w:val="22"/>
                <w:szCs w:val="22"/>
              </w:rPr>
              <w:t xml:space="preserve"> </w:t>
            </w:r>
          </w:p>
        </w:tc>
      </w:tr>
    </w:tbl>
    <w:p w:rsidR="002D3C12" w:rsidRPr="001218B6" w:rsidRDefault="002D3C12" w:rsidP="00600C1B">
      <w:pPr>
        <w:rPr>
          <w:sz w:val="22"/>
          <w:szCs w:val="22"/>
          <w:lang w:val="lt-LT"/>
        </w:rPr>
      </w:pPr>
    </w:p>
    <w:sectPr w:rsidR="002D3C12" w:rsidRPr="001218B6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22D"/>
    <w:multiLevelType w:val="hybridMultilevel"/>
    <w:tmpl w:val="0576C2FE"/>
    <w:lvl w:ilvl="0" w:tplc="0C627E98">
      <w:start w:val="1"/>
      <w:numFmt w:val="decimal"/>
      <w:lvlText w:val="%1."/>
      <w:lvlJc w:val="left"/>
      <w:pPr>
        <w:ind w:left="461" w:hanging="358"/>
        <w:jc w:val="left"/>
      </w:pPr>
      <w:rPr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CC4AADE">
      <w:numFmt w:val="bullet"/>
      <w:lvlText w:val="•"/>
      <w:lvlJc w:val="left"/>
      <w:pPr>
        <w:ind w:left="906" w:hanging="358"/>
      </w:pPr>
      <w:rPr>
        <w:rFonts w:hint="default"/>
        <w:lang w:val="en-US" w:eastAsia="en-US" w:bidi="ar-SA"/>
      </w:rPr>
    </w:lvl>
    <w:lvl w:ilvl="2" w:tplc="A874EBAC">
      <w:numFmt w:val="bullet"/>
      <w:lvlText w:val="•"/>
      <w:lvlJc w:val="left"/>
      <w:pPr>
        <w:ind w:left="1352" w:hanging="358"/>
      </w:pPr>
      <w:rPr>
        <w:rFonts w:hint="default"/>
        <w:lang w:val="en-US" w:eastAsia="en-US" w:bidi="ar-SA"/>
      </w:rPr>
    </w:lvl>
    <w:lvl w:ilvl="3" w:tplc="B9241EB2">
      <w:numFmt w:val="bullet"/>
      <w:lvlText w:val="•"/>
      <w:lvlJc w:val="left"/>
      <w:pPr>
        <w:ind w:left="1798" w:hanging="358"/>
      </w:pPr>
      <w:rPr>
        <w:rFonts w:hint="default"/>
        <w:lang w:val="en-US" w:eastAsia="en-US" w:bidi="ar-SA"/>
      </w:rPr>
    </w:lvl>
    <w:lvl w:ilvl="4" w:tplc="FCCA8918">
      <w:numFmt w:val="bullet"/>
      <w:lvlText w:val="•"/>
      <w:lvlJc w:val="left"/>
      <w:pPr>
        <w:ind w:left="2244" w:hanging="358"/>
      </w:pPr>
      <w:rPr>
        <w:rFonts w:hint="default"/>
        <w:lang w:val="en-US" w:eastAsia="en-US" w:bidi="ar-SA"/>
      </w:rPr>
    </w:lvl>
    <w:lvl w:ilvl="5" w:tplc="00B687D2">
      <w:numFmt w:val="bullet"/>
      <w:lvlText w:val="•"/>
      <w:lvlJc w:val="left"/>
      <w:pPr>
        <w:ind w:left="2690" w:hanging="358"/>
      </w:pPr>
      <w:rPr>
        <w:rFonts w:hint="default"/>
        <w:lang w:val="en-US" w:eastAsia="en-US" w:bidi="ar-SA"/>
      </w:rPr>
    </w:lvl>
    <w:lvl w:ilvl="6" w:tplc="13D8BCC6">
      <w:numFmt w:val="bullet"/>
      <w:lvlText w:val="•"/>
      <w:lvlJc w:val="left"/>
      <w:pPr>
        <w:ind w:left="3136" w:hanging="358"/>
      </w:pPr>
      <w:rPr>
        <w:rFonts w:hint="default"/>
        <w:lang w:val="en-US" w:eastAsia="en-US" w:bidi="ar-SA"/>
      </w:rPr>
    </w:lvl>
    <w:lvl w:ilvl="7" w:tplc="849A6EA4">
      <w:numFmt w:val="bullet"/>
      <w:lvlText w:val="•"/>
      <w:lvlJc w:val="left"/>
      <w:pPr>
        <w:ind w:left="3582" w:hanging="358"/>
      </w:pPr>
      <w:rPr>
        <w:rFonts w:hint="default"/>
        <w:lang w:val="en-US" w:eastAsia="en-US" w:bidi="ar-SA"/>
      </w:rPr>
    </w:lvl>
    <w:lvl w:ilvl="8" w:tplc="0D96B9B6">
      <w:numFmt w:val="bullet"/>
      <w:lvlText w:val="•"/>
      <w:lvlJc w:val="left"/>
      <w:pPr>
        <w:ind w:left="4028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17901F1D"/>
    <w:multiLevelType w:val="hybridMultilevel"/>
    <w:tmpl w:val="BAD86B2E"/>
    <w:lvl w:ilvl="0" w:tplc="4C0240D4">
      <w:start w:val="12"/>
      <w:numFmt w:val="decimal"/>
      <w:lvlText w:val="%1."/>
      <w:lvlJc w:val="left"/>
      <w:pPr>
        <w:ind w:left="479" w:hanging="358"/>
        <w:jc w:val="left"/>
      </w:pPr>
      <w:rPr>
        <w:rFonts w:hint="default"/>
        <w:w w:val="100"/>
        <w:lang w:val="lt-LT" w:eastAsia="lt-LT" w:bidi="lt-LT"/>
      </w:rPr>
    </w:lvl>
    <w:lvl w:ilvl="1" w:tplc="5A1421A6">
      <w:numFmt w:val="bullet"/>
      <w:lvlText w:val="•"/>
      <w:lvlJc w:val="left"/>
      <w:pPr>
        <w:ind w:left="1363" w:hanging="358"/>
      </w:pPr>
      <w:rPr>
        <w:rFonts w:hint="default"/>
        <w:lang w:val="lt-LT" w:eastAsia="lt-LT" w:bidi="lt-LT"/>
      </w:rPr>
    </w:lvl>
    <w:lvl w:ilvl="2" w:tplc="47C0F794">
      <w:numFmt w:val="bullet"/>
      <w:lvlText w:val="•"/>
      <w:lvlJc w:val="left"/>
      <w:pPr>
        <w:ind w:left="2247" w:hanging="358"/>
      </w:pPr>
      <w:rPr>
        <w:rFonts w:hint="default"/>
        <w:lang w:val="lt-LT" w:eastAsia="lt-LT" w:bidi="lt-LT"/>
      </w:rPr>
    </w:lvl>
    <w:lvl w:ilvl="3" w:tplc="9976AF74">
      <w:numFmt w:val="bullet"/>
      <w:lvlText w:val="•"/>
      <w:lvlJc w:val="left"/>
      <w:pPr>
        <w:ind w:left="3131" w:hanging="358"/>
      </w:pPr>
      <w:rPr>
        <w:rFonts w:hint="default"/>
        <w:lang w:val="lt-LT" w:eastAsia="lt-LT" w:bidi="lt-LT"/>
      </w:rPr>
    </w:lvl>
    <w:lvl w:ilvl="4" w:tplc="7EF877EC">
      <w:numFmt w:val="bullet"/>
      <w:lvlText w:val="•"/>
      <w:lvlJc w:val="left"/>
      <w:pPr>
        <w:ind w:left="4015" w:hanging="358"/>
      </w:pPr>
      <w:rPr>
        <w:rFonts w:hint="default"/>
        <w:lang w:val="lt-LT" w:eastAsia="lt-LT" w:bidi="lt-LT"/>
      </w:rPr>
    </w:lvl>
    <w:lvl w:ilvl="5" w:tplc="3AD0B0CA">
      <w:numFmt w:val="bullet"/>
      <w:lvlText w:val="•"/>
      <w:lvlJc w:val="left"/>
      <w:pPr>
        <w:ind w:left="4899" w:hanging="358"/>
      </w:pPr>
      <w:rPr>
        <w:rFonts w:hint="default"/>
        <w:lang w:val="lt-LT" w:eastAsia="lt-LT" w:bidi="lt-LT"/>
      </w:rPr>
    </w:lvl>
    <w:lvl w:ilvl="6" w:tplc="C248EB3E">
      <w:numFmt w:val="bullet"/>
      <w:lvlText w:val="•"/>
      <w:lvlJc w:val="left"/>
      <w:pPr>
        <w:ind w:left="5783" w:hanging="358"/>
      </w:pPr>
      <w:rPr>
        <w:rFonts w:hint="default"/>
        <w:lang w:val="lt-LT" w:eastAsia="lt-LT" w:bidi="lt-LT"/>
      </w:rPr>
    </w:lvl>
    <w:lvl w:ilvl="7" w:tplc="707A68BA">
      <w:numFmt w:val="bullet"/>
      <w:lvlText w:val="•"/>
      <w:lvlJc w:val="left"/>
      <w:pPr>
        <w:ind w:left="6666" w:hanging="358"/>
      </w:pPr>
      <w:rPr>
        <w:rFonts w:hint="default"/>
        <w:lang w:val="lt-LT" w:eastAsia="lt-LT" w:bidi="lt-LT"/>
      </w:rPr>
    </w:lvl>
    <w:lvl w:ilvl="8" w:tplc="2A2AD988">
      <w:numFmt w:val="bullet"/>
      <w:lvlText w:val="•"/>
      <w:lvlJc w:val="left"/>
      <w:pPr>
        <w:ind w:left="7550" w:hanging="358"/>
      </w:pPr>
      <w:rPr>
        <w:rFonts w:hint="default"/>
        <w:lang w:val="lt-LT" w:eastAsia="lt-LT" w:bidi="lt-LT"/>
      </w:rPr>
    </w:lvl>
  </w:abstractNum>
  <w:abstractNum w:abstractNumId="2" w15:restartNumberingAfterBreak="0">
    <w:nsid w:val="5D566348"/>
    <w:multiLevelType w:val="hybridMultilevel"/>
    <w:tmpl w:val="36A4B5AE"/>
    <w:lvl w:ilvl="0" w:tplc="8346AE9A">
      <w:start w:val="1"/>
      <w:numFmt w:val="decimal"/>
      <w:lvlText w:val="%1."/>
      <w:lvlJc w:val="left"/>
      <w:pPr>
        <w:ind w:left="464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lt-LT" w:bidi="lt-LT"/>
      </w:rPr>
    </w:lvl>
    <w:lvl w:ilvl="1" w:tplc="D85CB8E4">
      <w:numFmt w:val="bullet"/>
      <w:lvlText w:val="•"/>
      <w:lvlJc w:val="left"/>
      <w:pPr>
        <w:ind w:left="1340" w:hanging="358"/>
      </w:pPr>
      <w:rPr>
        <w:rFonts w:hint="default"/>
        <w:lang w:val="lt-LT" w:eastAsia="lt-LT" w:bidi="lt-LT"/>
      </w:rPr>
    </w:lvl>
    <w:lvl w:ilvl="2" w:tplc="B4EA2B50">
      <w:numFmt w:val="bullet"/>
      <w:lvlText w:val="•"/>
      <w:lvlJc w:val="left"/>
      <w:pPr>
        <w:ind w:left="2220" w:hanging="358"/>
      </w:pPr>
      <w:rPr>
        <w:rFonts w:hint="default"/>
        <w:lang w:val="lt-LT" w:eastAsia="lt-LT" w:bidi="lt-LT"/>
      </w:rPr>
    </w:lvl>
    <w:lvl w:ilvl="3" w:tplc="19C04DCA">
      <w:numFmt w:val="bullet"/>
      <w:lvlText w:val="•"/>
      <w:lvlJc w:val="left"/>
      <w:pPr>
        <w:ind w:left="3100" w:hanging="358"/>
      </w:pPr>
      <w:rPr>
        <w:rFonts w:hint="default"/>
        <w:lang w:val="lt-LT" w:eastAsia="lt-LT" w:bidi="lt-LT"/>
      </w:rPr>
    </w:lvl>
    <w:lvl w:ilvl="4" w:tplc="96C46F9A">
      <w:numFmt w:val="bullet"/>
      <w:lvlText w:val="•"/>
      <w:lvlJc w:val="left"/>
      <w:pPr>
        <w:ind w:left="3980" w:hanging="358"/>
      </w:pPr>
      <w:rPr>
        <w:rFonts w:hint="default"/>
        <w:lang w:val="lt-LT" w:eastAsia="lt-LT" w:bidi="lt-LT"/>
      </w:rPr>
    </w:lvl>
    <w:lvl w:ilvl="5" w:tplc="F2E4C95A">
      <w:numFmt w:val="bullet"/>
      <w:lvlText w:val="•"/>
      <w:lvlJc w:val="left"/>
      <w:pPr>
        <w:ind w:left="4860" w:hanging="358"/>
      </w:pPr>
      <w:rPr>
        <w:rFonts w:hint="default"/>
        <w:lang w:val="lt-LT" w:eastAsia="lt-LT" w:bidi="lt-LT"/>
      </w:rPr>
    </w:lvl>
    <w:lvl w:ilvl="6" w:tplc="2D5A350C">
      <w:numFmt w:val="bullet"/>
      <w:lvlText w:val="•"/>
      <w:lvlJc w:val="left"/>
      <w:pPr>
        <w:ind w:left="5740" w:hanging="358"/>
      </w:pPr>
      <w:rPr>
        <w:rFonts w:hint="default"/>
        <w:lang w:val="lt-LT" w:eastAsia="lt-LT" w:bidi="lt-LT"/>
      </w:rPr>
    </w:lvl>
    <w:lvl w:ilvl="7" w:tplc="9A66E648">
      <w:numFmt w:val="bullet"/>
      <w:lvlText w:val="•"/>
      <w:lvlJc w:val="left"/>
      <w:pPr>
        <w:ind w:left="6620" w:hanging="358"/>
      </w:pPr>
      <w:rPr>
        <w:rFonts w:hint="default"/>
        <w:lang w:val="lt-LT" w:eastAsia="lt-LT" w:bidi="lt-LT"/>
      </w:rPr>
    </w:lvl>
    <w:lvl w:ilvl="8" w:tplc="F5FC49DE">
      <w:numFmt w:val="bullet"/>
      <w:lvlText w:val="•"/>
      <w:lvlJc w:val="left"/>
      <w:pPr>
        <w:ind w:left="7500" w:hanging="358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F"/>
    <w:rsid w:val="00016351"/>
    <w:rsid w:val="00027F73"/>
    <w:rsid w:val="00037733"/>
    <w:rsid w:val="000F6CFD"/>
    <w:rsid w:val="001218B6"/>
    <w:rsid w:val="00121E67"/>
    <w:rsid w:val="001727DA"/>
    <w:rsid w:val="00216D07"/>
    <w:rsid w:val="00252CBA"/>
    <w:rsid w:val="002A669F"/>
    <w:rsid w:val="002D3C12"/>
    <w:rsid w:val="002D7AD1"/>
    <w:rsid w:val="003171A5"/>
    <w:rsid w:val="0032414F"/>
    <w:rsid w:val="0035258E"/>
    <w:rsid w:val="00354267"/>
    <w:rsid w:val="0044462B"/>
    <w:rsid w:val="004B2BA4"/>
    <w:rsid w:val="004F07A0"/>
    <w:rsid w:val="005A243D"/>
    <w:rsid w:val="005A3568"/>
    <w:rsid w:val="00600C1B"/>
    <w:rsid w:val="00654E78"/>
    <w:rsid w:val="00745232"/>
    <w:rsid w:val="007E5C78"/>
    <w:rsid w:val="00862EAA"/>
    <w:rsid w:val="00875171"/>
    <w:rsid w:val="00883F45"/>
    <w:rsid w:val="00924E97"/>
    <w:rsid w:val="009404F1"/>
    <w:rsid w:val="009708B7"/>
    <w:rsid w:val="009844CC"/>
    <w:rsid w:val="00A965CE"/>
    <w:rsid w:val="00B2084A"/>
    <w:rsid w:val="00B65DF1"/>
    <w:rsid w:val="00B72167"/>
    <w:rsid w:val="00C309D5"/>
    <w:rsid w:val="00C31F08"/>
    <w:rsid w:val="00C743B6"/>
    <w:rsid w:val="00CA6702"/>
    <w:rsid w:val="00D00EBD"/>
    <w:rsid w:val="00D70EFD"/>
    <w:rsid w:val="00D83738"/>
    <w:rsid w:val="00ED2DF9"/>
    <w:rsid w:val="00F00A7D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F3720"/>
  <w15:chartTrackingRefBased/>
  <w15:docId w15:val="{6B1AEDED-8FD1-4B08-9340-4A9BC0EE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E78"/>
    <w:rPr>
      <w:rFonts w:ascii="Tahoma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A965CE"/>
    <w:pPr>
      <w:widowControl w:val="0"/>
      <w:autoSpaceDE w:val="0"/>
      <w:autoSpaceDN w:val="0"/>
    </w:pPr>
    <w:rPr>
      <w:sz w:val="22"/>
      <w:szCs w:val="22"/>
      <w:lang w:val="lt-LT" w:bidi="lt-LT"/>
    </w:rPr>
  </w:style>
  <w:style w:type="character" w:customStyle="1" w:styleId="q4iawc">
    <w:name w:val="q4iawc"/>
    <w:basedOn w:val="DefaultParagraphFont"/>
    <w:rsid w:val="00216D07"/>
  </w:style>
  <w:style w:type="paragraph" w:styleId="ListParagraph">
    <w:name w:val="List Paragraph"/>
    <w:basedOn w:val="Normal"/>
    <w:uiPriority w:val="34"/>
    <w:qFormat/>
    <w:rsid w:val="002A6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vb.lt/primo-explore/fulldisplay?docid=ELABAPDB88103627&amp;context=L&amp;vid=ELABA&amp;lang=lt_LT&amp;search_scope=eLABa&amp;adaptor=Local%20Search%20Engine&amp;tab=default_tab&amp;query=any%2Ccontains%2CBumblauskas%2C%20Alfredas&amp;sortby=date&amp;facet=searchcreationdate%2Cinclude%2C2016%7C%2C%7C2021&amp;offse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b.lt/primo-explore/fulldisplay?docid=ELABAPDB83138326&amp;context=L&amp;vid=ELABA&amp;lang=lt_LT&amp;search_scope=eLABa&amp;adaptor=Local%20Search%20Engine&amp;tab=default_tab&amp;query=any%2Ccontains%2CBumblauskas%2C%20Alfredas&amp;sortby=date&amp;facet=searchcreationdate%2Cinclude%2C2016%7C%2C%7C2021&amp;offset=0" TargetMode="External"/><Relationship Id="rId5" Type="http://schemas.openxmlformats.org/officeDocument/2006/relationships/hyperlink" Target="http://ieg-ego.eu/en/threads/theories-and-methods/historical-meso-region/stefan-troebst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4997</Words>
  <Characters>2849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DOKTORANTŪROS STUDIJŲ KURSO PROGRAMA</vt:lpstr>
      <vt:lpstr>DOKTORANTŪROS STUDIJŲ KURSO PROGRAMA</vt:lpstr>
    </vt:vector>
  </TitlesOfParts>
  <Company>VU Filologijos fakultetas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DOKTORANTŪROS STUDIJŲ KURSO PROGRAMA</dc:title>
  <dc:subject/>
  <dc:creator>VU Fil. fak.</dc:creator>
  <cp:keywords/>
  <cp:lastModifiedBy>332</cp:lastModifiedBy>
  <cp:revision>15</cp:revision>
  <cp:lastPrinted>2012-04-27T08:36:00Z</cp:lastPrinted>
  <dcterms:created xsi:type="dcterms:W3CDTF">2022-05-09T10:22:00Z</dcterms:created>
  <dcterms:modified xsi:type="dcterms:W3CDTF">2022-06-07T12:28:00Z</dcterms:modified>
</cp:coreProperties>
</file>