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D06738" w:rsidRDefault="004B2BA4">
      <w:pPr>
        <w:tabs>
          <w:tab w:val="left" w:pos="1843"/>
        </w:tabs>
        <w:spacing w:after="120"/>
        <w:jc w:val="center"/>
        <w:rPr>
          <w:b/>
          <w:sz w:val="22"/>
          <w:szCs w:val="22"/>
          <w:lang w:val="lt-LT"/>
        </w:rPr>
      </w:pPr>
      <w:r w:rsidRPr="00D06738">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D06738"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D06738" w:rsidRDefault="007E5C78">
            <w:pPr>
              <w:rPr>
                <w:sz w:val="22"/>
                <w:szCs w:val="22"/>
                <w:lang w:val="lt-LT"/>
              </w:rPr>
            </w:pPr>
            <w:proofErr w:type="spellStart"/>
            <w:r w:rsidRPr="00D06738">
              <w:rPr>
                <w:sz w:val="22"/>
                <w:szCs w:val="22"/>
                <w:lang w:val="lt-LT"/>
              </w:rPr>
              <w:t>Subject</w:t>
            </w:r>
            <w:proofErr w:type="spellEnd"/>
            <w:r w:rsidRPr="00D06738">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D06738" w:rsidRDefault="001727DA">
            <w:pPr>
              <w:rPr>
                <w:sz w:val="22"/>
                <w:szCs w:val="22"/>
                <w:lang w:val="lt-LT"/>
              </w:rPr>
            </w:pPr>
            <w:proofErr w:type="spellStart"/>
            <w:r w:rsidRPr="00D06738">
              <w:rPr>
                <w:sz w:val="22"/>
                <w:szCs w:val="22"/>
                <w:lang w:val="lt-LT"/>
              </w:rPr>
              <w:t>Field</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study</w:t>
            </w:r>
            <w:proofErr w:type="spellEnd"/>
            <w:r w:rsidRPr="00D06738">
              <w:rPr>
                <w:sz w:val="22"/>
                <w:szCs w:val="22"/>
                <w:lang w:val="lt-LT"/>
              </w:rPr>
              <w:t xml:space="preserve"> (</w:t>
            </w:r>
            <w:proofErr w:type="spellStart"/>
            <w:r w:rsidRPr="00D06738">
              <w:rPr>
                <w:sz w:val="22"/>
                <w:szCs w:val="22"/>
                <w:lang w:val="lt-LT"/>
              </w:rPr>
              <w:t>branch</w:t>
            </w:r>
            <w:proofErr w:type="spellEnd"/>
            <w:r w:rsidRPr="00D06738">
              <w:rPr>
                <w:sz w:val="22"/>
                <w:szCs w:val="22"/>
                <w:lang w:val="lt-LT"/>
              </w:rPr>
              <w:t xml:space="preserve">) </w:t>
            </w:r>
            <w:proofErr w:type="spellStart"/>
            <w:r w:rsidRPr="00D06738">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D06738" w:rsidRDefault="002D3C12">
            <w:pPr>
              <w:rPr>
                <w:sz w:val="22"/>
                <w:szCs w:val="22"/>
                <w:lang w:val="lt-LT"/>
              </w:rPr>
            </w:pPr>
            <w:proofErr w:type="spellStart"/>
            <w:r w:rsidRPr="00D06738">
              <w:rPr>
                <w:sz w:val="22"/>
                <w:szCs w:val="22"/>
                <w:lang w:val="lt-LT"/>
              </w:rPr>
              <w:t>Fa</w:t>
            </w:r>
            <w:r w:rsidR="00C743B6" w:rsidRPr="00D06738">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D06738" w:rsidRDefault="00C743B6">
            <w:pPr>
              <w:rPr>
                <w:sz w:val="22"/>
                <w:szCs w:val="22"/>
                <w:lang w:val="lt-LT"/>
              </w:rPr>
            </w:pPr>
            <w:proofErr w:type="spellStart"/>
            <w:r w:rsidRPr="00D06738">
              <w:rPr>
                <w:sz w:val="22"/>
                <w:szCs w:val="22"/>
                <w:lang w:val="lt-LT"/>
              </w:rPr>
              <w:t>Department</w:t>
            </w:r>
            <w:proofErr w:type="spellEnd"/>
          </w:p>
        </w:tc>
      </w:tr>
      <w:tr w:rsidR="00654E78" w:rsidRPr="00D06738" w:rsidTr="00654E78">
        <w:tc>
          <w:tcPr>
            <w:tcW w:w="3510" w:type="dxa"/>
            <w:tcBorders>
              <w:top w:val="single" w:sz="12" w:space="0" w:color="auto"/>
              <w:left w:val="single" w:sz="12" w:space="0" w:color="auto"/>
              <w:bottom w:val="single" w:sz="12" w:space="0" w:color="auto"/>
              <w:right w:val="single" w:sz="12" w:space="0" w:color="auto"/>
            </w:tcBorders>
          </w:tcPr>
          <w:p w:rsidR="006C3DC5" w:rsidRPr="00D06738" w:rsidRDefault="006C3DC5" w:rsidP="006C3DC5">
            <w:pPr>
              <w:pStyle w:val="TableParagraph"/>
              <w:spacing w:line="276" w:lineRule="auto"/>
              <w:jc w:val="both"/>
              <w:rPr>
                <w:b/>
              </w:rPr>
            </w:pPr>
            <w:proofErr w:type="spellStart"/>
            <w:r w:rsidRPr="00D06738">
              <w:rPr>
                <w:b/>
              </w:rPr>
              <w:t>The</w:t>
            </w:r>
            <w:proofErr w:type="spellEnd"/>
            <w:r w:rsidRPr="00D06738">
              <w:rPr>
                <w:b/>
              </w:rPr>
              <w:t xml:space="preserve"> Statute </w:t>
            </w:r>
            <w:proofErr w:type="spellStart"/>
            <w:r w:rsidRPr="00D06738">
              <w:rPr>
                <w:b/>
              </w:rPr>
              <w:t>of</w:t>
            </w:r>
            <w:proofErr w:type="spellEnd"/>
            <w:r w:rsidRPr="00D06738">
              <w:rPr>
                <w:b/>
              </w:rPr>
              <w:t xml:space="preserve"> Lithuania </w:t>
            </w:r>
            <w:proofErr w:type="spellStart"/>
            <w:r w:rsidRPr="00D06738">
              <w:rPr>
                <w:b/>
              </w:rPr>
              <w:t>and</w:t>
            </w:r>
            <w:proofErr w:type="spellEnd"/>
            <w:r w:rsidRPr="00D06738">
              <w:rPr>
                <w:b/>
              </w:rPr>
              <w:t xml:space="preserve"> </w:t>
            </w:r>
            <w:proofErr w:type="spellStart"/>
            <w:r w:rsidRPr="00D06738">
              <w:rPr>
                <w:b/>
              </w:rPr>
              <w:t>the</w:t>
            </w:r>
            <w:proofErr w:type="spellEnd"/>
            <w:r w:rsidRPr="00D06738">
              <w:rPr>
                <w:b/>
              </w:rPr>
              <w:t xml:space="preserve"> </w:t>
            </w:r>
            <w:proofErr w:type="spellStart"/>
            <w:r w:rsidRPr="00D06738">
              <w:rPr>
                <w:b/>
              </w:rPr>
              <w:t>Epoque</w:t>
            </w:r>
            <w:proofErr w:type="spellEnd"/>
          </w:p>
          <w:p w:rsidR="00654E78" w:rsidRPr="00D06738" w:rsidRDefault="00654E78">
            <w:pPr>
              <w:rPr>
                <w:sz w:val="22"/>
                <w:szCs w:val="22"/>
                <w:lang w:val="lt-LT"/>
              </w:rPr>
            </w:pPr>
          </w:p>
          <w:p w:rsidR="00654E78" w:rsidRPr="00D06738"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D06738" w:rsidRDefault="000F6CFD" w:rsidP="000F6CFD">
            <w:pPr>
              <w:rPr>
                <w:sz w:val="22"/>
                <w:szCs w:val="22"/>
              </w:rPr>
            </w:pPr>
            <w:r w:rsidRPr="00D06738">
              <w:rPr>
                <w:sz w:val="22"/>
                <w:szCs w:val="22"/>
              </w:rPr>
              <w:t xml:space="preserve">History and Archaeology </w:t>
            </w:r>
          </w:p>
          <w:p w:rsidR="00654E78" w:rsidRPr="00D06738" w:rsidRDefault="000F6CFD" w:rsidP="000F6CFD">
            <w:pPr>
              <w:rPr>
                <w:sz w:val="22"/>
                <w:szCs w:val="22"/>
                <w:lang w:val="lt-LT"/>
              </w:rPr>
            </w:pPr>
            <w:r w:rsidRPr="00D06738">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D06738" w:rsidRDefault="000F6CFD">
            <w:pPr>
              <w:rPr>
                <w:sz w:val="22"/>
                <w:szCs w:val="22"/>
                <w:lang w:val="lt-LT"/>
              </w:rPr>
            </w:pPr>
            <w:proofErr w:type="spellStart"/>
            <w:r w:rsidRPr="00D06738">
              <w:rPr>
                <w:sz w:val="22"/>
                <w:szCs w:val="22"/>
                <w:lang w:val="lt-LT"/>
              </w:rPr>
              <w:t>Faculty</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D06738" w:rsidRDefault="000F6CFD">
            <w:pPr>
              <w:rPr>
                <w:sz w:val="22"/>
                <w:szCs w:val="22"/>
              </w:rPr>
            </w:pPr>
            <w:r w:rsidRPr="00D06738">
              <w:rPr>
                <w:sz w:val="22"/>
                <w:szCs w:val="22"/>
              </w:rPr>
              <w:t>Department of</w:t>
            </w:r>
            <w:r w:rsidR="006C3DC5" w:rsidRPr="00D06738">
              <w:rPr>
                <w:sz w:val="22"/>
                <w:szCs w:val="22"/>
              </w:rPr>
              <w:t xml:space="preserve"> </w:t>
            </w:r>
          </w:p>
          <w:p w:rsidR="006C3DC5" w:rsidRPr="00D06738" w:rsidRDefault="006C3DC5">
            <w:pPr>
              <w:rPr>
                <w:sz w:val="22"/>
                <w:szCs w:val="22"/>
                <w:lang w:val="lt-LT"/>
              </w:rPr>
            </w:pPr>
            <w:r w:rsidRPr="00D06738">
              <w:rPr>
                <w:bCs/>
                <w:sz w:val="22"/>
                <w:szCs w:val="22"/>
                <w:u w:color="000000"/>
              </w:rPr>
              <w:t>Ancient and Medieval History</w:t>
            </w:r>
          </w:p>
        </w:tc>
      </w:tr>
      <w:tr w:rsidR="00654E78" w:rsidRPr="00D06738" w:rsidTr="00654E78">
        <w:tc>
          <w:tcPr>
            <w:tcW w:w="9322" w:type="dxa"/>
            <w:gridSpan w:val="4"/>
            <w:tcBorders>
              <w:top w:val="single" w:sz="12" w:space="0" w:color="auto"/>
              <w:left w:val="single" w:sz="4" w:space="0" w:color="auto"/>
              <w:bottom w:val="double" w:sz="6" w:space="0" w:color="auto"/>
              <w:right w:val="nil"/>
            </w:tcBorders>
          </w:tcPr>
          <w:p w:rsidR="00654E78" w:rsidRPr="00D06738" w:rsidRDefault="00654E78">
            <w:pPr>
              <w:rPr>
                <w:sz w:val="22"/>
                <w:szCs w:val="22"/>
                <w:lang w:val="lt-LT"/>
              </w:rPr>
            </w:pPr>
          </w:p>
        </w:tc>
      </w:tr>
      <w:tr w:rsidR="002D3C12" w:rsidRPr="00D06738"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D06738" w:rsidRDefault="00037733">
            <w:pPr>
              <w:rPr>
                <w:sz w:val="22"/>
                <w:szCs w:val="22"/>
                <w:lang w:val="lt-LT"/>
              </w:rPr>
            </w:pPr>
            <w:proofErr w:type="spellStart"/>
            <w:r w:rsidRPr="00D06738">
              <w:rPr>
                <w:sz w:val="22"/>
                <w:szCs w:val="22"/>
                <w:lang w:val="lt-LT"/>
              </w:rPr>
              <w:t>Mode</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D06738" w:rsidRDefault="00D70EFD">
            <w:pPr>
              <w:rPr>
                <w:sz w:val="22"/>
                <w:szCs w:val="22"/>
                <w:lang w:val="lt-LT"/>
              </w:rPr>
            </w:pPr>
            <w:proofErr w:type="spellStart"/>
            <w:r w:rsidRPr="00D06738">
              <w:rPr>
                <w:sz w:val="22"/>
                <w:szCs w:val="22"/>
                <w:lang w:val="lt-LT"/>
              </w:rPr>
              <w:t>Number</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credits</w:t>
            </w:r>
            <w:proofErr w:type="spellEnd"/>
            <w:r w:rsidRPr="00D06738">
              <w:rPr>
                <w:sz w:val="22"/>
                <w:szCs w:val="22"/>
                <w:lang w:val="lt-LT"/>
              </w:rPr>
              <w:t xml:space="preserve"> </w:t>
            </w:r>
            <w:r w:rsidR="009844CC" w:rsidRPr="00D06738">
              <w:rPr>
                <w:sz w:val="22"/>
                <w:szCs w:val="22"/>
                <w:lang w:val="lt-LT"/>
              </w:rPr>
              <w:t>ECTS</w:t>
            </w:r>
          </w:p>
        </w:tc>
        <w:tc>
          <w:tcPr>
            <w:tcW w:w="1984" w:type="dxa"/>
            <w:tcBorders>
              <w:top w:val="double" w:sz="6" w:space="0" w:color="auto"/>
              <w:bottom w:val="single" w:sz="12" w:space="0" w:color="auto"/>
            </w:tcBorders>
            <w:shd w:val="clear" w:color="auto" w:fill="F2F2F2"/>
          </w:tcPr>
          <w:p w:rsidR="002D3C12" w:rsidRPr="00D06738" w:rsidRDefault="000F6CFD">
            <w:pPr>
              <w:rPr>
                <w:sz w:val="22"/>
                <w:szCs w:val="22"/>
                <w:lang w:val="lt-LT"/>
              </w:rPr>
            </w:pPr>
            <w:proofErr w:type="spellStart"/>
            <w:r w:rsidRPr="00D06738">
              <w:rPr>
                <w:sz w:val="22"/>
                <w:szCs w:val="22"/>
                <w:lang w:val="lt-LT"/>
              </w:rPr>
              <w:t>Mode</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D06738" w:rsidRDefault="00252CBA">
            <w:pPr>
              <w:rPr>
                <w:sz w:val="22"/>
                <w:szCs w:val="22"/>
                <w:lang w:val="lt-LT"/>
              </w:rPr>
            </w:pPr>
            <w:proofErr w:type="spellStart"/>
            <w:r w:rsidRPr="00D06738">
              <w:rPr>
                <w:sz w:val="22"/>
                <w:szCs w:val="22"/>
                <w:lang w:val="lt-LT"/>
              </w:rPr>
              <w:t>Number</w:t>
            </w:r>
            <w:proofErr w:type="spellEnd"/>
            <w:r w:rsidRPr="00D06738">
              <w:rPr>
                <w:sz w:val="22"/>
                <w:szCs w:val="22"/>
                <w:lang w:val="lt-LT"/>
              </w:rPr>
              <w:t xml:space="preserve"> </w:t>
            </w:r>
            <w:proofErr w:type="spellStart"/>
            <w:r w:rsidRPr="00D06738">
              <w:rPr>
                <w:sz w:val="22"/>
                <w:szCs w:val="22"/>
                <w:lang w:val="lt-LT"/>
              </w:rPr>
              <w:t>of</w:t>
            </w:r>
            <w:proofErr w:type="spellEnd"/>
            <w:r w:rsidRPr="00D06738">
              <w:rPr>
                <w:sz w:val="22"/>
                <w:szCs w:val="22"/>
                <w:lang w:val="lt-LT"/>
              </w:rPr>
              <w:t xml:space="preserve"> </w:t>
            </w:r>
            <w:proofErr w:type="spellStart"/>
            <w:r w:rsidRPr="00D06738">
              <w:rPr>
                <w:sz w:val="22"/>
                <w:szCs w:val="22"/>
                <w:lang w:val="lt-LT"/>
              </w:rPr>
              <w:t>credits</w:t>
            </w:r>
            <w:proofErr w:type="spellEnd"/>
            <w:r w:rsidRPr="00D06738">
              <w:rPr>
                <w:sz w:val="22"/>
                <w:szCs w:val="22"/>
                <w:lang w:val="lt-LT"/>
              </w:rPr>
              <w:t xml:space="preserve"> </w:t>
            </w:r>
            <w:r w:rsidR="009708B7" w:rsidRPr="00D06738">
              <w:rPr>
                <w:sz w:val="22"/>
                <w:szCs w:val="22"/>
                <w:lang w:val="lt-LT"/>
              </w:rPr>
              <w:t>ECTS</w:t>
            </w:r>
          </w:p>
        </w:tc>
      </w:tr>
      <w:tr w:rsidR="002D3C12" w:rsidRPr="00D06738"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D06738" w:rsidRDefault="0035258E">
            <w:pPr>
              <w:rPr>
                <w:sz w:val="22"/>
                <w:szCs w:val="22"/>
                <w:lang w:val="lt-LT"/>
              </w:rPr>
            </w:pPr>
            <w:proofErr w:type="spellStart"/>
            <w:r w:rsidRPr="00D06738">
              <w:rPr>
                <w:sz w:val="22"/>
                <w:szCs w:val="22"/>
                <w:lang w:val="lt-LT"/>
              </w:rPr>
              <w:t>lectures</w:t>
            </w:r>
            <w:proofErr w:type="spellEnd"/>
          </w:p>
        </w:tc>
        <w:tc>
          <w:tcPr>
            <w:tcW w:w="1985" w:type="dxa"/>
            <w:tcBorders>
              <w:top w:val="single" w:sz="12" w:space="0" w:color="auto"/>
              <w:bottom w:val="single" w:sz="6" w:space="0" w:color="auto"/>
            </w:tcBorders>
          </w:tcPr>
          <w:p w:rsidR="002D3C12" w:rsidRPr="00D06738" w:rsidRDefault="002D3C12">
            <w:pPr>
              <w:jc w:val="center"/>
              <w:rPr>
                <w:sz w:val="22"/>
                <w:szCs w:val="22"/>
                <w:lang w:val="lt-LT"/>
              </w:rPr>
            </w:pPr>
          </w:p>
        </w:tc>
        <w:tc>
          <w:tcPr>
            <w:tcW w:w="1984" w:type="dxa"/>
            <w:tcBorders>
              <w:top w:val="single" w:sz="12" w:space="0" w:color="auto"/>
              <w:bottom w:val="single" w:sz="6" w:space="0" w:color="auto"/>
            </w:tcBorders>
          </w:tcPr>
          <w:p w:rsidR="002D3C12" w:rsidRPr="00D06738" w:rsidRDefault="0035258E">
            <w:pPr>
              <w:rPr>
                <w:sz w:val="22"/>
                <w:szCs w:val="22"/>
                <w:lang w:val="lt-LT"/>
              </w:rPr>
            </w:pPr>
            <w:proofErr w:type="spellStart"/>
            <w:r w:rsidRPr="00D06738">
              <w:rPr>
                <w:sz w:val="22"/>
                <w:szCs w:val="22"/>
                <w:lang w:val="lt-LT"/>
              </w:rPr>
              <w:t>consultations</w:t>
            </w:r>
            <w:proofErr w:type="spellEnd"/>
          </w:p>
        </w:tc>
        <w:tc>
          <w:tcPr>
            <w:tcW w:w="1843" w:type="dxa"/>
            <w:tcBorders>
              <w:top w:val="single" w:sz="12" w:space="0" w:color="auto"/>
              <w:bottom w:val="single" w:sz="6" w:space="0" w:color="auto"/>
            </w:tcBorders>
          </w:tcPr>
          <w:p w:rsidR="002D3C12" w:rsidRPr="00D06738" w:rsidRDefault="00893B76" w:rsidP="00893B76">
            <w:pPr>
              <w:jc w:val="center"/>
              <w:rPr>
                <w:sz w:val="22"/>
                <w:szCs w:val="22"/>
                <w:lang w:val="lt-LT"/>
              </w:rPr>
            </w:pPr>
            <w:r w:rsidRPr="00D06738">
              <w:rPr>
                <w:sz w:val="22"/>
                <w:szCs w:val="22"/>
                <w:lang w:val="lt-LT"/>
              </w:rPr>
              <w:t>1,5</w:t>
            </w:r>
          </w:p>
        </w:tc>
      </w:tr>
      <w:tr w:rsidR="002D3C12" w:rsidRPr="00D06738"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D06738" w:rsidRDefault="00CA6702">
            <w:pPr>
              <w:rPr>
                <w:sz w:val="22"/>
                <w:szCs w:val="22"/>
                <w:lang w:val="lt-LT"/>
              </w:rPr>
            </w:pPr>
            <w:proofErr w:type="spellStart"/>
            <w:r w:rsidRPr="00D06738">
              <w:rPr>
                <w:sz w:val="22"/>
                <w:szCs w:val="22"/>
                <w:lang w:val="lt-LT"/>
              </w:rPr>
              <w:t>individual</w:t>
            </w:r>
            <w:proofErr w:type="spellEnd"/>
          </w:p>
        </w:tc>
        <w:tc>
          <w:tcPr>
            <w:tcW w:w="1985" w:type="dxa"/>
            <w:tcBorders>
              <w:top w:val="single" w:sz="6" w:space="0" w:color="auto"/>
              <w:bottom w:val="single" w:sz="12" w:space="0" w:color="auto"/>
            </w:tcBorders>
          </w:tcPr>
          <w:p w:rsidR="002D3C12" w:rsidRPr="00D06738" w:rsidRDefault="00893B76" w:rsidP="00893B76">
            <w:pPr>
              <w:jc w:val="center"/>
              <w:rPr>
                <w:sz w:val="22"/>
                <w:szCs w:val="22"/>
                <w:lang w:val="lt-LT"/>
              </w:rPr>
            </w:pPr>
            <w:r w:rsidRPr="00D06738">
              <w:rPr>
                <w:sz w:val="22"/>
                <w:szCs w:val="22"/>
                <w:lang w:val="lt-LT"/>
              </w:rPr>
              <w:t>6</w:t>
            </w:r>
          </w:p>
        </w:tc>
        <w:tc>
          <w:tcPr>
            <w:tcW w:w="1984" w:type="dxa"/>
            <w:tcBorders>
              <w:top w:val="single" w:sz="6" w:space="0" w:color="auto"/>
              <w:bottom w:val="single" w:sz="12" w:space="0" w:color="auto"/>
            </w:tcBorders>
          </w:tcPr>
          <w:p w:rsidR="002D3C12" w:rsidRPr="00D06738" w:rsidRDefault="002D3C12">
            <w:pPr>
              <w:rPr>
                <w:sz w:val="22"/>
                <w:szCs w:val="22"/>
                <w:lang w:val="lt-LT"/>
              </w:rPr>
            </w:pPr>
            <w:proofErr w:type="spellStart"/>
            <w:r w:rsidRPr="00D06738">
              <w:rPr>
                <w:sz w:val="22"/>
                <w:szCs w:val="22"/>
                <w:lang w:val="lt-LT"/>
              </w:rPr>
              <w:t>semina</w:t>
            </w:r>
            <w:r w:rsidR="00CA6702" w:rsidRPr="00D06738">
              <w:rPr>
                <w:sz w:val="22"/>
                <w:szCs w:val="22"/>
                <w:lang w:val="lt-LT"/>
              </w:rPr>
              <w:t>rs</w:t>
            </w:r>
            <w:proofErr w:type="spellEnd"/>
          </w:p>
        </w:tc>
        <w:tc>
          <w:tcPr>
            <w:tcW w:w="1843" w:type="dxa"/>
            <w:tcBorders>
              <w:top w:val="single" w:sz="6" w:space="0" w:color="auto"/>
              <w:bottom w:val="single" w:sz="12" w:space="0" w:color="auto"/>
            </w:tcBorders>
          </w:tcPr>
          <w:p w:rsidR="002D3C12" w:rsidRPr="00D06738" w:rsidRDefault="002D3C12">
            <w:pPr>
              <w:rPr>
                <w:sz w:val="22"/>
                <w:szCs w:val="22"/>
                <w:lang w:val="lt-LT"/>
              </w:rPr>
            </w:pPr>
          </w:p>
        </w:tc>
      </w:tr>
    </w:tbl>
    <w:p w:rsidR="002D3C12" w:rsidRPr="00D06738" w:rsidRDefault="00F76EBE">
      <w:pPr>
        <w:rPr>
          <w:sz w:val="22"/>
          <w:szCs w:val="22"/>
          <w:lang w:val="lt-LT"/>
        </w:rPr>
      </w:pPr>
      <w:r w:rsidRPr="00D06738">
        <w:rPr>
          <w:sz w:val="22"/>
          <w:szCs w:val="22"/>
          <w:lang w:val="lt-LT"/>
        </w:rPr>
        <w:t xml:space="preserve">                                                                                                                                  </w:t>
      </w:r>
      <w:proofErr w:type="gramStart"/>
      <w:r w:rsidR="005A3568" w:rsidRPr="00D06738">
        <w:rPr>
          <w:b/>
          <w:bCs/>
          <w:sz w:val="22"/>
          <w:szCs w:val="22"/>
        </w:rPr>
        <w:t>Total  7</w:t>
      </w:r>
      <w:proofErr w:type="gramEnd"/>
      <w:r w:rsidR="005A3568" w:rsidRPr="00D06738">
        <w:rPr>
          <w:b/>
          <w:bCs/>
          <w:sz w:val="22"/>
          <w:szCs w:val="22"/>
        </w:rPr>
        <w:t>,5</w:t>
      </w:r>
      <w:r w:rsidRPr="00D06738">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D06738" w:rsidTr="00D06738">
        <w:tc>
          <w:tcPr>
            <w:tcW w:w="9287" w:type="dxa"/>
            <w:gridSpan w:val="3"/>
            <w:tcBorders>
              <w:top w:val="single" w:sz="12" w:space="0" w:color="auto"/>
              <w:bottom w:val="single" w:sz="12" w:space="0" w:color="auto"/>
            </w:tcBorders>
            <w:shd w:val="clear" w:color="auto" w:fill="F2F2F2"/>
          </w:tcPr>
          <w:p w:rsidR="002D3C12" w:rsidRPr="00D06738" w:rsidRDefault="00354267">
            <w:pPr>
              <w:rPr>
                <w:sz w:val="22"/>
                <w:szCs w:val="22"/>
                <w:lang w:val="lt-LT"/>
              </w:rPr>
            </w:pPr>
            <w:proofErr w:type="spellStart"/>
            <w:r w:rsidRPr="00D06738">
              <w:rPr>
                <w:sz w:val="22"/>
                <w:szCs w:val="22"/>
                <w:lang w:val="lt-LT"/>
              </w:rPr>
              <w:t>Subject</w:t>
            </w:r>
            <w:proofErr w:type="spellEnd"/>
            <w:r w:rsidRPr="00D06738">
              <w:rPr>
                <w:sz w:val="22"/>
                <w:szCs w:val="22"/>
                <w:lang w:val="lt-LT"/>
              </w:rPr>
              <w:t xml:space="preserve"> </w:t>
            </w:r>
            <w:proofErr w:type="spellStart"/>
            <w:r w:rsidRPr="00D06738">
              <w:rPr>
                <w:sz w:val="22"/>
                <w:szCs w:val="22"/>
                <w:lang w:val="lt-LT"/>
              </w:rPr>
              <w:t>annotation</w:t>
            </w:r>
            <w:proofErr w:type="spellEnd"/>
          </w:p>
        </w:tc>
      </w:tr>
      <w:tr w:rsidR="002D3C12" w:rsidRPr="00D06738" w:rsidTr="00D06738">
        <w:tc>
          <w:tcPr>
            <w:tcW w:w="9287" w:type="dxa"/>
            <w:gridSpan w:val="3"/>
            <w:tcBorders>
              <w:top w:val="single" w:sz="12" w:space="0" w:color="auto"/>
              <w:bottom w:val="double" w:sz="6" w:space="0" w:color="auto"/>
            </w:tcBorders>
          </w:tcPr>
          <w:p w:rsidR="00BC427C" w:rsidRPr="00D06738" w:rsidRDefault="00BC427C" w:rsidP="00BC427C">
            <w:pPr>
              <w:pStyle w:val="TableParagraph"/>
              <w:spacing w:line="276" w:lineRule="auto"/>
              <w:ind w:right="159"/>
              <w:jc w:val="both"/>
            </w:pPr>
            <w:proofErr w:type="spellStart"/>
            <w:r w:rsidRPr="00D06738">
              <w:t>The</w:t>
            </w:r>
            <w:proofErr w:type="spellEnd"/>
            <w:r w:rsidRPr="00D06738">
              <w:t xml:space="preserve"> </w:t>
            </w:r>
            <w:proofErr w:type="spellStart"/>
            <w:r w:rsidRPr="00D06738">
              <w:t>course</w:t>
            </w:r>
            <w:proofErr w:type="spellEnd"/>
            <w:r w:rsidRPr="00D06738">
              <w:t xml:space="preserve"> </w:t>
            </w:r>
            <w:proofErr w:type="spellStart"/>
            <w:r w:rsidRPr="00D06738">
              <w:t>aims</w:t>
            </w:r>
            <w:proofErr w:type="spellEnd"/>
            <w:r w:rsidRPr="00D06738">
              <w:t xml:space="preserve"> to </w:t>
            </w:r>
            <w:proofErr w:type="spellStart"/>
            <w:r w:rsidRPr="00D06738">
              <w:t>analyze</w:t>
            </w:r>
            <w:proofErr w:type="spellEnd"/>
            <w:r w:rsidRPr="00D06738">
              <w:t xml:space="preserve"> </w:t>
            </w:r>
            <w:proofErr w:type="spellStart"/>
            <w:r w:rsidRPr="00D06738">
              <w:t>the</w:t>
            </w:r>
            <w:proofErr w:type="spellEnd"/>
            <w:r w:rsidRPr="00D06738">
              <w:t xml:space="preserve"> </w:t>
            </w:r>
            <w:proofErr w:type="spellStart"/>
            <w:r w:rsidRPr="00D06738">
              <w:t>possibilities</w:t>
            </w:r>
            <w:proofErr w:type="spellEnd"/>
            <w:r w:rsidRPr="00D06738">
              <w:t xml:space="preserve"> </w:t>
            </w:r>
            <w:proofErr w:type="spellStart"/>
            <w:r w:rsidRPr="00D06738">
              <w:t>of</w:t>
            </w:r>
            <w:proofErr w:type="spellEnd"/>
            <w:r w:rsidRPr="00D06738">
              <w:t xml:space="preserve"> </w:t>
            </w:r>
            <w:proofErr w:type="spellStart"/>
            <w:r w:rsidRPr="00D06738">
              <w:t>using</w:t>
            </w:r>
            <w:proofErr w:type="spellEnd"/>
            <w:r w:rsidRPr="00D06738">
              <w:t xml:space="preserve"> </w:t>
            </w:r>
            <w:proofErr w:type="spellStart"/>
            <w:r w:rsidRPr="00D06738">
              <w:t>the</w:t>
            </w:r>
            <w:proofErr w:type="spellEnd"/>
            <w:r w:rsidRPr="00D06738">
              <w:t xml:space="preserve"> Statute </w:t>
            </w:r>
            <w:proofErr w:type="spellStart"/>
            <w:r w:rsidRPr="00D06738">
              <w:t>of</w:t>
            </w:r>
            <w:proofErr w:type="spellEnd"/>
            <w:r w:rsidRPr="00D06738">
              <w:t xml:space="preserve"> Lithuania (SL) </w:t>
            </w:r>
            <w:proofErr w:type="spellStart"/>
            <w:r w:rsidRPr="00D06738">
              <w:t>as</w:t>
            </w:r>
            <w:proofErr w:type="spellEnd"/>
            <w:r w:rsidRPr="00D06738">
              <w:t xml:space="preserve"> a </w:t>
            </w:r>
            <w:proofErr w:type="spellStart"/>
            <w:r w:rsidRPr="00D06738">
              <w:t>source</w:t>
            </w:r>
            <w:proofErr w:type="spellEnd"/>
            <w:r w:rsidRPr="00D06738">
              <w:t xml:space="preserve"> </w:t>
            </w:r>
            <w:proofErr w:type="spellStart"/>
            <w:r w:rsidRPr="00D06738">
              <w:t>of</w:t>
            </w:r>
            <w:proofErr w:type="spellEnd"/>
            <w:r w:rsidRPr="00D06738">
              <w:t xml:space="preserve"> </w:t>
            </w:r>
            <w:proofErr w:type="spellStart"/>
            <w:r w:rsidRPr="00D06738">
              <w:t>the</w:t>
            </w:r>
            <w:proofErr w:type="spellEnd"/>
            <w:r w:rsidRPr="00D06738">
              <w:t xml:space="preserve"> </w:t>
            </w:r>
            <w:proofErr w:type="spellStart"/>
            <w:r w:rsidRPr="00D06738">
              <w:t>history</w:t>
            </w:r>
            <w:proofErr w:type="spellEnd"/>
            <w:r w:rsidRPr="00D06738">
              <w:t xml:space="preserve"> </w:t>
            </w:r>
            <w:proofErr w:type="spellStart"/>
            <w:r w:rsidRPr="00D06738">
              <w:t>of</w:t>
            </w:r>
            <w:proofErr w:type="spellEnd"/>
            <w:r w:rsidRPr="00D06738">
              <w:t xml:space="preserve"> </w:t>
            </w:r>
            <w:proofErr w:type="spellStart"/>
            <w:r w:rsidRPr="00D06738">
              <w:t>the</w:t>
            </w:r>
            <w:proofErr w:type="spellEnd"/>
            <w:r w:rsidRPr="00D06738">
              <w:t xml:space="preserve"> GDL </w:t>
            </w:r>
            <w:proofErr w:type="spellStart"/>
            <w:r w:rsidRPr="00D06738">
              <w:t>for</w:t>
            </w:r>
            <w:proofErr w:type="spellEnd"/>
            <w:r w:rsidRPr="00D06738">
              <w:t xml:space="preserve"> </w:t>
            </w:r>
            <w:proofErr w:type="spellStart"/>
            <w:r w:rsidRPr="00D06738">
              <w:t>the</w:t>
            </w:r>
            <w:proofErr w:type="spellEnd"/>
            <w:r w:rsidRPr="00D06738">
              <w:t xml:space="preserve"> </w:t>
            </w:r>
            <w:proofErr w:type="spellStart"/>
            <w:r w:rsidRPr="00D06738">
              <w:t>study</w:t>
            </w:r>
            <w:proofErr w:type="spellEnd"/>
            <w:r w:rsidRPr="00D06738">
              <w:t xml:space="preserve"> </w:t>
            </w:r>
            <w:proofErr w:type="spellStart"/>
            <w:r w:rsidRPr="00D06738">
              <w:t>of</w:t>
            </w:r>
            <w:proofErr w:type="spellEnd"/>
            <w:r w:rsidRPr="00D06738">
              <w:t xml:space="preserve"> </w:t>
            </w:r>
            <w:proofErr w:type="spellStart"/>
            <w:r w:rsidRPr="00D06738">
              <w:t>the</w:t>
            </w:r>
            <w:proofErr w:type="spellEnd"/>
            <w:r w:rsidRPr="00D06738">
              <w:t xml:space="preserve"> 15th to 18th </w:t>
            </w:r>
            <w:proofErr w:type="spellStart"/>
            <w:r w:rsidRPr="00D06738">
              <w:t>century</w:t>
            </w:r>
            <w:proofErr w:type="spellEnd"/>
            <w:r w:rsidRPr="00D06738">
              <w:t xml:space="preserve"> </w:t>
            </w:r>
            <w:proofErr w:type="spellStart"/>
            <w:r w:rsidRPr="00D06738">
              <w:t>and</w:t>
            </w:r>
            <w:proofErr w:type="spellEnd"/>
            <w:r w:rsidRPr="00D06738">
              <w:t xml:space="preserve"> to </w:t>
            </w:r>
            <w:proofErr w:type="spellStart"/>
            <w:r w:rsidRPr="00D06738">
              <w:t>show</w:t>
            </w:r>
            <w:proofErr w:type="spellEnd"/>
            <w:r w:rsidRPr="00D06738">
              <w:t xml:space="preserve"> </w:t>
            </w:r>
            <w:proofErr w:type="spellStart"/>
            <w:r w:rsidRPr="00D06738">
              <w:t>the</w:t>
            </w:r>
            <w:proofErr w:type="spellEnd"/>
            <w:r w:rsidRPr="00D06738">
              <w:t xml:space="preserve"> </w:t>
            </w:r>
            <w:proofErr w:type="spellStart"/>
            <w:r w:rsidRPr="00D06738">
              <w:t>perspectives</w:t>
            </w:r>
            <w:proofErr w:type="spellEnd"/>
            <w:r w:rsidRPr="00D06738">
              <w:t xml:space="preserve"> </w:t>
            </w:r>
            <w:proofErr w:type="spellStart"/>
            <w:r w:rsidRPr="00D06738">
              <w:t>of</w:t>
            </w:r>
            <w:proofErr w:type="spellEnd"/>
            <w:r w:rsidRPr="00D06738">
              <w:t xml:space="preserve"> </w:t>
            </w:r>
            <w:proofErr w:type="spellStart"/>
            <w:r w:rsidRPr="00D06738">
              <w:t>its</w:t>
            </w:r>
            <w:proofErr w:type="spellEnd"/>
            <w:r w:rsidRPr="00D06738">
              <w:t xml:space="preserve"> </w:t>
            </w:r>
            <w:proofErr w:type="spellStart"/>
            <w:r w:rsidRPr="00D06738">
              <w:t>research</w:t>
            </w:r>
            <w:proofErr w:type="spellEnd"/>
            <w:r w:rsidRPr="00D06738">
              <w:t xml:space="preserve"> </w:t>
            </w:r>
            <w:proofErr w:type="spellStart"/>
            <w:r w:rsidRPr="00D06738">
              <w:t>as</w:t>
            </w:r>
            <w:proofErr w:type="spellEnd"/>
            <w:r w:rsidRPr="00D06738">
              <w:t xml:space="preserve"> </w:t>
            </w:r>
            <w:proofErr w:type="spellStart"/>
            <w:r w:rsidRPr="00D06738">
              <w:t>an</w:t>
            </w:r>
            <w:proofErr w:type="spellEnd"/>
            <w:r w:rsidRPr="00D06738">
              <w:t xml:space="preserve"> </w:t>
            </w:r>
            <w:proofErr w:type="spellStart"/>
            <w:r w:rsidRPr="00D06738">
              <w:t>interdisciplinary</w:t>
            </w:r>
            <w:proofErr w:type="spellEnd"/>
            <w:r w:rsidRPr="00D06738">
              <w:t xml:space="preserve"> </w:t>
            </w:r>
            <w:proofErr w:type="spellStart"/>
            <w:r w:rsidRPr="00D06738">
              <w:t>dialogue</w:t>
            </w:r>
            <w:proofErr w:type="spellEnd"/>
            <w:r w:rsidRPr="00D06738">
              <w:t>.</w:t>
            </w:r>
          </w:p>
          <w:p w:rsidR="00BC427C" w:rsidRPr="00D06738" w:rsidRDefault="00BC427C" w:rsidP="00BC427C">
            <w:pPr>
              <w:spacing w:line="276" w:lineRule="auto"/>
              <w:jc w:val="both"/>
              <w:rPr>
                <w:iCs/>
                <w:sz w:val="22"/>
                <w:szCs w:val="22"/>
              </w:rPr>
            </w:pPr>
            <w:r w:rsidRPr="00D06738">
              <w:rPr>
                <w:iCs/>
                <w:sz w:val="22"/>
                <w:szCs w:val="22"/>
              </w:rPr>
              <w:t>Features of scientific publications and historiography of the Statute of Lithuania. Analysis of the transcripts of the First and Second Statutes.</w:t>
            </w:r>
          </w:p>
          <w:p w:rsidR="00BC427C" w:rsidRPr="00D06738" w:rsidRDefault="00BC427C" w:rsidP="00BC427C">
            <w:pPr>
              <w:spacing w:line="276" w:lineRule="auto"/>
              <w:jc w:val="both"/>
              <w:rPr>
                <w:iCs/>
                <w:sz w:val="22"/>
                <w:szCs w:val="22"/>
              </w:rPr>
            </w:pPr>
            <w:r w:rsidRPr="00D06738">
              <w:rPr>
                <w:iCs/>
                <w:sz w:val="22"/>
                <w:szCs w:val="22"/>
              </w:rPr>
              <w:t xml:space="preserve">The content of the concepts of </w:t>
            </w:r>
            <w:r w:rsidRPr="00D06738">
              <w:rPr>
                <w:i/>
                <w:sz w:val="22"/>
                <w:szCs w:val="22"/>
              </w:rPr>
              <w:t>legal code</w:t>
            </w:r>
            <w:r w:rsidRPr="00D06738">
              <w:rPr>
                <w:iCs/>
                <w:sz w:val="22"/>
                <w:szCs w:val="22"/>
              </w:rPr>
              <w:t xml:space="preserve">, </w:t>
            </w:r>
            <w:r w:rsidRPr="00D06738">
              <w:rPr>
                <w:i/>
                <w:sz w:val="22"/>
                <w:szCs w:val="22"/>
              </w:rPr>
              <w:t>code of laws</w:t>
            </w:r>
            <w:r w:rsidRPr="00D06738">
              <w:rPr>
                <w:iCs/>
                <w:sz w:val="22"/>
                <w:szCs w:val="22"/>
              </w:rPr>
              <w:t xml:space="preserve">, </w:t>
            </w:r>
            <w:r w:rsidRPr="00D06738">
              <w:rPr>
                <w:i/>
                <w:sz w:val="22"/>
                <w:szCs w:val="22"/>
              </w:rPr>
              <w:t>code</w:t>
            </w:r>
            <w:r w:rsidRPr="00D06738">
              <w:rPr>
                <w:iCs/>
                <w:sz w:val="22"/>
                <w:szCs w:val="22"/>
              </w:rPr>
              <w:t>. The birth of the codification process in Europe. The reasons for and preconditions for the ambitious program of codification of law in the GDL.</w:t>
            </w:r>
          </w:p>
          <w:p w:rsidR="00BC427C" w:rsidRPr="00D06738" w:rsidRDefault="00BC427C" w:rsidP="00BC427C">
            <w:pPr>
              <w:spacing w:line="276" w:lineRule="auto"/>
              <w:jc w:val="both"/>
              <w:rPr>
                <w:iCs/>
                <w:sz w:val="22"/>
                <w:szCs w:val="22"/>
              </w:rPr>
            </w:pPr>
            <w:r w:rsidRPr="00D06738">
              <w:rPr>
                <w:iCs/>
                <w:sz w:val="22"/>
                <w:szCs w:val="22"/>
              </w:rPr>
              <w:t>Sources of law in the GDL. New quality: from customary to written law. The cult of the antiquity of law and the doctrine of its immutability. The concept of Christian law in the GDL. The role of professional jurisprudence. The problem of reception: harmony and disharmony in the interaction of cultures. Mechanism of codification. The editors of the Statute: personality and collegiality, intellectual and practical experience gained.</w:t>
            </w:r>
          </w:p>
          <w:p w:rsidR="00BC427C" w:rsidRPr="00D06738" w:rsidRDefault="00BC427C" w:rsidP="00BC427C">
            <w:pPr>
              <w:spacing w:line="276" w:lineRule="auto"/>
              <w:jc w:val="both"/>
              <w:rPr>
                <w:iCs/>
                <w:sz w:val="22"/>
                <w:szCs w:val="22"/>
              </w:rPr>
            </w:pPr>
            <w:r w:rsidRPr="00D06738">
              <w:rPr>
                <w:iCs/>
                <w:sz w:val="22"/>
                <w:szCs w:val="22"/>
              </w:rPr>
              <w:t>Content analysis of the Lithuanian Statute. The reasons for the exceptional dynamism of the codification of the GDL law. The Statute is a "mirror" of the society of the GDL and its development, an indicator of its maturity and modernity, a reflection and/or a catalyst of fracture processes.</w:t>
            </w:r>
          </w:p>
          <w:p w:rsidR="00BC427C" w:rsidRPr="00D06738" w:rsidRDefault="00BC427C" w:rsidP="00BC427C">
            <w:pPr>
              <w:spacing w:line="276" w:lineRule="auto"/>
              <w:jc w:val="both"/>
              <w:rPr>
                <w:iCs/>
                <w:sz w:val="22"/>
                <w:szCs w:val="22"/>
              </w:rPr>
            </w:pPr>
            <w:r w:rsidRPr="00D06738">
              <w:rPr>
                <w:iCs/>
                <w:sz w:val="22"/>
                <w:szCs w:val="22"/>
              </w:rPr>
              <w:t xml:space="preserve">The Statute of Lithuania in the hierarchy of values of the </w:t>
            </w:r>
            <w:proofErr w:type="gramStart"/>
            <w:r w:rsidRPr="00D06738">
              <w:rPr>
                <w:iCs/>
                <w:sz w:val="22"/>
                <w:szCs w:val="22"/>
              </w:rPr>
              <w:t>noblemen‘</w:t>
            </w:r>
            <w:proofErr w:type="gramEnd"/>
            <w:r w:rsidRPr="00D06738">
              <w:rPr>
                <w:iCs/>
                <w:sz w:val="22"/>
                <w:szCs w:val="22"/>
              </w:rPr>
              <w:t>s society. Was the Statute a constitution of the nobility? The concept of the rule of law: "I am protected by the law" and "Let us be slaves of the law to enjoy our freedoms". The Statute and the problem of the statehood of the GDL and the identity of the nobility after the Union of Lublin.</w:t>
            </w:r>
          </w:p>
          <w:p w:rsidR="00BC427C" w:rsidRPr="00D06738" w:rsidRDefault="00BC427C" w:rsidP="00BC427C">
            <w:pPr>
              <w:spacing w:line="276" w:lineRule="auto"/>
              <w:jc w:val="both"/>
              <w:rPr>
                <w:iCs/>
                <w:sz w:val="22"/>
                <w:szCs w:val="22"/>
              </w:rPr>
            </w:pPr>
            <w:r w:rsidRPr="00D06738">
              <w:rPr>
                <w:iCs/>
                <w:sz w:val="22"/>
                <w:szCs w:val="22"/>
              </w:rPr>
              <w:t>The phenomenon of the law of the GDL in the context of European jurisprudence in the 16th to 18th centuries: from progress to regress?</w:t>
            </w:r>
          </w:p>
          <w:p w:rsidR="00BC427C" w:rsidRPr="00D06738" w:rsidRDefault="00BC427C" w:rsidP="00BC427C">
            <w:pPr>
              <w:spacing w:line="276" w:lineRule="auto"/>
              <w:jc w:val="both"/>
              <w:rPr>
                <w:iCs/>
                <w:sz w:val="22"/>
                <w:szCs w:val="22"/>
              </w:rPr>
            </w:pPr>
            <w:r w:rsidRPr="00D06738">
              <w:rPr>
                <w:iCs/>
                <w:sz w:val="22"/>
                <w:szCs w:val="22"/>
              </w:rPr>
              <w:t xml:space="preserve">Themis and </w:t>
            </w:r>
            <w:proofErr w:type="spellStart"/>
            <w:r w:rsidRPr="00D06738">
              <w:rPr>
                <w:iCs/>
                <w:sz w:val="22"/>
                <w:szCs w:val="22"/>
              </w:rPr>
              <w:t>Cleia</w:t>
            </w:r>
            <w:proofErr w:type="spellEnd"/>
            <w:r w:rsidRPr="00D06738">
              <w:rPr>
                <w:iCs/>
                <w:sz w:val="22"/>
                <w:szCs w:val="22"/>
              </w:rPr>
              <w:t>: monuments of law and the significance of historical access for the discourse of the period.</w:t>
            </w:r>
          </w:p>
          <w:p w:rsidR="002D3C12" w:rsidRPr="00D06738" w:rsidRDefault="002D3C12">
            <w:pPr>
              <w:jc w:val="both"/>
              <w:rPr>
                <w:sz w:val="22"/>
                <w:szCs w:val="22"/>
                <w:lang w:val="lt-LT"/>
              </w:rPr>
            </w:pPr>
          </w:p>
        </w:tc>
      </w:tr>
      <w:tr w:rsidR="002D3C12" w:rsidRPr="00D06738" w:rsidTr="00D06738">
        <w:tc>
          <w:tcPr>
            <w:tcW w:w="9287" w:type="dxa"/>
            <w:gridSpan w:val="3"/>
            <w:tcBorders>
              <w:top w:val="double" w:sz="6" w:space="0" w:color="auto"/>
              <w:bottom w:val="single" w:sz="12" w:space="0" w:color="auto"/>
            </w:tcBorders>
            <w:shd w:val="clear" w:color="auto" w:fill="F2F2F2"/>
          </w:tcPr>
          <w:p w:rsidR="002D3C12" w:rsidRPr="00D06738" w:rsidRDefault="002D7AD1">
            <w:pPr>
              <w:rPr>
                <w:sz w:val="22"/>
                <w:szCs w:val="22"/>
                <w:lang w:val="lt-LT"/>
              </w:rPr>
            </w:pPr>
            <w:proofErr w:type="spellStart"/>
            <w:r w:rsidRPr="00D06738">
              <w:rPr>
                <w:sz w:val="22"/>
                <w:szCs w:val="22"/>
                <w:lang w:val="lt-LT"/>
              </w:rPr>
              <w:t>Key</w:t>
            </w:r>
            <w:proofErr w:type="spellEnd"/>
            <w:r w:rsidRPr="00D06738">
              <w:rPr>
                <w:sz w:val="22"/>
                <w:szCs w:val="22"/>
                <w:lang w:val="lt-LT"/>
              </w:rPr>
              <w:t xml:space="preserve"> </w:t>
            </w:r>
            <w:proofErr w:type="spellStart"/>
            <w:r w:rsidRPr="00D06738">
              <w:rPr>
                <w:sz w:val="22"/>
                <w:szCs w:val="22"/>
                <w:lang w:val="lt-LT"/>
              </w:rPr>
              <w:t>literature</w:t>
            </w:r>
            <w:proofErr w:type="spellEnd"/>
          </w:p>
        </w:tc>
      </w:tr>
      <w:tr w:rsidR="007804DE" w:rsidRPr="00D06738" w:rsidTr="00D06738">
        <w:trPr>
          <w:trHeight w:val="2027"/>
        </w:trPr>
        <w:tc>
          <w:tcPr>
            <w:tcW w:w="9287" w:type="dxa"/>
            <w:gridSpan w:val="3"/>
            <w:tcBorders>
              <w:top w:val="nil"/>
            </w:tcBorders>
          </w:tcPr>
          <w:p w:rsidR="007804DE" w:rsidRPr="00D06738" w:rsidRDefault="007804DE" w:rsidP="007804DE">
            <w:pPr>
              <w:numPr>
                <w:ilvl w:val="0"/>
                <w:numId w:val="1"/>
              </w:numPr>
              <w:rPr>
                <w:sz w:val="22"/>
                <w:szCs w:val="22"/>
                <w:lang w:val="lt-LT"/>
              </w:rPr>
            </w:pPr>
            <w:proofErr w:type="spellStart"/>
            <w:r w:rsidRPr="00D06738">
              <w:rPr>
                <w:sz w:val="22"/>
                <w:szCs w:val="22"/>
                <w:lang w:val="lt-LT"/>
              </w:rPr>
              <w:t>Bardach</w:t>
            </w:r>
            <w:proofErr w:type="spellEnd"/>
            <w:r w:rsidRPr="00D06738">
              <w:rPr>
                <w:sz w:val="22"/>
                <w:szCs w:val="22"/>
                <w:lang w:val="lt-LT"/>
              </w:rPr>
              <w:t xml:space="preserve"> J. </w:t>
            </w:r>
            <w:proofErr w:type="spellStart"/>
            <w:r w:rsidRPr="00D06738">
              <w:rPr>
                <w:sz w:val="22"/>
                <w:szCs w:val="22"/>
                <w:lang w:val="lt-LT"/>
              </w:rPr>
              <w:t>Statuty</w:t>
            </w:r>
            <w:proofErr w:type="spellEnd"/>
            <w:r w:rsidRPr="00D06738">
              <w:rPr>
                <w:sz w:val="22"/>
                <w:szCs w:val="22"/>
                <w:lang w:val="lt-LT"/>
              </w:rPr>
              <w:t xml:space="preserve"> </w:t>
            </w:r>
            <w:proofErr w:type="spellStart"/>
            <w:r w:rsidRPr="00D06738">
              <w:rPr>
                <w:sz w:val="22"/>
                <w:szCs w:val="22"/>
                <w:lang w:val="lt-LT"/>
              </w:rPr>
              <w:t>litewskie</w:t>
            </w:r>
            <w:proofErr w:type="spellEnd"/>
            <w:r w:rsidRPr="00D06738">
              <w:rPr>
                <w:sz w:val="22"/>
                <w:szCs w:val="22"/>
                <w:lang w:val="lt-LT"/>
              </w:rPr>
              <w:t xml:space="preserve"> w </w:t>
            </w:r>
            <w:proofErr w:type="spellStart"/>
            <w:r w:rsidRPr="00D06738">
              <w:rPr>
                <w:sz w:val="22"/>
                <w:szCs w:val="22"/>
                <w:lang w:val="lt-LT"/>
              </w:rPr>
              <w:t>kręgu</w:t>
            </w:r>
            <w:proofErr w:type="spellEnd"/>
            <w:r w:rsidRPr="00D06738">
              <w:rPr>
                <w:sz w:val="22"/>
                <w:szCs w:val="22"/>
                <w:lang w:val="lt-LT"/>
              </w:rPr>
              <w:t xml:space="preserve"> </w:t>
            </w:r>
            <w:proofErr w:type="spellStart"/>
            <w:r w:rsidRPr="00D06738">
              <w:rPr>
                <w:sz w:val="22"/>
                <w:szCs w:val="22"/>
                <w:lang w:val="lt-LT"/>
              </w:rPr>
              <w:t>prawno</w:t>
            </w:r>
            <w:proofErr w:type="spellEnd"/>
            <w:r w:rsidRPr="00D06738">
              <w:rPr>
                <w:sz w:val="22"/>
                <w:szCs w:val="22"/>
                <w:lang w:val="lt-LT"/>
              </w:rPr>
              <w:t xml:space="preserve">  – </w:t>
            </w:r>
            <w:proofErr w:type="spellStart"/>
            <w:r w:rsidRPr="00D06738">
              <w:rPr>
                <w:sz w:val="22"/>
                <w:szCs w:val="22"/>
                <w:lang w:val="lt-LT"/>
              </w:rPr>
              <w:t>kulturowym</w:t>
            </w:r>
            <w:proofErr w:type="spellEnd"/>
            <w:r w:rsidRPr="00D06738">
              <w:rPr>
                <w:sz w:val="22"/>
                <w:szCs w:val="22"/>
                <w:lang w:val="lt-LT"/>
              </w:rPr>
              <w:t xml:space="preserve">, </w:t>
            </w:r>
            <w:proofErr w:type="spellStart"/>
            <w:r w:rsidRPr="00D06738">
              <w:rPr>
                <w:sz w:val="22"/>
                <w:szCs w:val="22"/>
                <w:lang w:val="lt-LT"/>
              </w:rPr>
              <w:t>in</w:t>
            </w:r>
            <w:proofErr w:type="spellEnd"/>
            <w:r w:rsidRPr="00D06738">
              <w:rPr>
                <w:sz w:val="22"/>
                <w:szCs w:val="22"/>
                <w:lang w:val="lt-LT"/>
              </w:rPr>
              <w:t xml:space="preserve">: </w:t>
            </w:r>
            <w:proofErr w:type="spellStart"/>
            <w:r w:rsidRPr="00D06738">
              <w:rPr>
                <w:i/>
                <w:iCs/>
                <w:sz w:val="22"/>
                <w:szCs w:val="22"/>
                <w:lang w:val="lt-LT"/>
              </w:rPr>
              <w:t>Bardach</w:t>
            </w:r>
            <w:proofErr w:type="spellEnd"/>
            <w:r w:rsidRPr="00D06738">
              <w:rPr>
                <w:i/>
                <w:iCs/>
                <w:sz w:val="22"/>
                <w:szCs w:val="22"/>
                <w:lang w:val="lt-LT"/>
              </w:rPr>
              <w:t xml:space="preserve"> J.,</w:t>
            </w:r>
            <w:r w:rsidRPr="00D06738">
              <w:rPr>
                <w:sz w:val="22"/>
                <w:szCs w:val="22"/>
                <w:lang w:val="lt-LT"/>
              </w:rPr>
              <w:t xml:space="preserve"> </w:t>
            </w:r>
            <w:r w:rsidRPr="00D06738">
              <w:rPr>
                <w:i/>
                <w:iCs/>
                <w:sz w:val="22"/>
                <w:szCs w:val="22"/>
                <w:lang w:val="lt-LT"/>
              </w:rPr>
              <w:t xml:space="preserve">O </w:t>
            </w:r>
            <w:proofErr w:type="spellStart"/>
            <w:r w:rsidRPr="00D06738">
              <w:rPr>
                <w:i/>
                <w:iCs/>
                <w:sz w:val="22"/>
                <w:szCs w:val="22"/>
                <w:lang w:val="lt-LT"/>
              </w:rPr>
              <w:t>dawnej</w:t>
            </w:r>
            <w:proofErr w:type="spellEnd"/>
            <w:r w:rsidRPr="00D06738">
              <w:rPr>
                <w:i/>
                <w:iCs/>
                <w:sz w:val="22"/>
                <w:szCs w:val="22"/>
                <w:lang w:val="lt-LT"/>
              </w:rPr>
              <w:t xml:space="preserve"> i </w:t>
            </w:r>
            <w:proofErr w:type="spellStart"/>
            <w:r w:rsidRPr="00D06738">
              <w:rPr>
                <w:i/>
                <w:iCs/>
                <w:sz w:val="22"/>
                <w:szCs w:val="22"/>
                <w:lang w:val="lt-LT"/>
              </w:rPr>
              <w:t>niedawnej</w:t>
            </w:r>
            <w:proofErr w:type="spellEnd"/>
            <w:r w:rsidRPr="00D06738">
              <w:rPr>
                <w:i/>
                <w:iCs/>
                <w:sz w:val="22"/>
                <w:szCs w:val="22"/>
                <w:lang w:val="lt-LT"/>
              </w:rPr>
              <w:t xml:space="preserve"> </w:t>
            </w:r>
            <w:proofErr w:type="spellStart"/>
            <w:r w:rsidRPr="00D06738">
              <w:rPr>
                <w:i/>
                <w:iCs/>
                <w:sz w:val="22"/>
                <w:szCs w:val="22"/>
                <w:lang w:val="lt-LT"/>
              </w:rPr>
              <w:t>Litwie</w:t>
            </w:r>
            <w:proofErr w:type="spellEnd"/>
            <w:r w:rsidRPr="00D06738">
              <w:rPr>
                <w:i/>
                <w:iCs/>
                <w:sz w:val="22"/>
                <w:szCs w:val="22"/>
                <w:lang w:val="lt-LT"/>
              </w:rPr>
              <w:t xml:space="preserve">. </w:t>
            </w:r>
            <w:r w:rsidRPr="00D06738">
              <w:rPr>
                <w:sz w:val="22"/>
                <w:szCs w:val="22"/>
                <w:lang w:val="lt-LT"/>
              </w:rPr>
              <w:t xml:space="preserve"> </w:t>
            </w:r>
            <w:proofErr w:type="spellStart"/>
            <w:r w:rsidRPr="00D06738">
              <w:rPr>
                <w:sz w:val="22"/>
                <w:szCs w:val="22"/>
                <w:lang w:val="lt-LT"/>
              </w:rPr>
              <w:t>Poznań</w:t>
            </w:r>
            <w:proofErr w:type="spellEnd"/>
            <w:r w:rsidRPr="00D06738">
              <w:rPr>
                <w:sz w:val="22"/>
                <w:szCs w:val="22"/>
                <w:lang w:val="lt-LT"/>
              </w:rPr>
              <w:t>, 1988. S. 9-71.</w:t>
            </w:r>
          </w:p>
          <w:p w:rsidR="007804DE" w:rsidRPr="00D06738" w:rsidRDefault="007804DE" w:rsidP="007804DE">
            <w:pPr>
              <w:numPr>
                <w:ilvl w:val="0"/>
                <w:numId w:val="1"/>
              </w:numPr>
              <w:rPr>
                <w:sz w:val="22"/>
                <w:szCs w:val="22"/>
                <w:lang w:val="lt-LT"/>
              </w:rPr>
            </w:pPr>
            <w:proofErr w:type="spellStart"/>
            <w:r w:rsidRPr="00D06738">
              <w:rPr>
                <w:sz w:val="22"/>
                <w:szCs w:val="22"/>
                <w:lang w:val="lt-LT"/>
              </w:rPr>
              <w:t>Bardach</w:t>
            </w:r>
            <w:proofErr w:type="spellEnd"/>
            <w:r w:rsidRPr="00D06738">
              <w:rPr>
                <w:sz w:val="22"/>
                <w:szCs w:val="22"/>
                <w:lang w:val="lt-LT"/>
              </w:rPr>
              <w:t xml:space="preserve"> J. </w:t>
            </w:r>
            <w:proofErr w:type="spellStart"/>
            <w:r w:rsidRPr="00D06738">
              <w:rPr>
                <w:i/>
                <w:sz w:val="22"/>
                <w:szCs w:val="22"/>
                <w:lang w:val="lt-LT"/>
              </w:rPr>
              <w:t>Statuty</w:t>
            </w:r>
            <w:proofErr w:type="spellEnd"/>
            <w:r w:rsidRPr="00D06738">
              <w:rPr>
                <w:i/>
                <w:sz w:val="22"/>
                <w:szCs w:val="22"/>
                <w:lang w:val="lt-LT"/>
              </w:rPr>
              <w:t xml:space="preserve"> </w:t>
            </w:r>
            <w:proofErr w:type="spellStart"/>
            <w:r w:rsidRPr="00D06738">
              <w:rPr>
                <w:i/>
                <w:sz w:val="22"/>
                <w:szCs w:val="22"/>
                <w:lang w:val="lt-LT"/>
              </w:rPr>
              <w:t>litewskie</w:t>
            </w:r>
            <w:proofErr w:type="spellEnd"/>
            <w:r w:rsidRPr="00D06738">
              <w:rPr>
                <w:i/>
                <w:sz w:val="22"/>
                <w:szCs w:val="22"/>
                <w:lang w:val="lt-LT"/>
              </w:rPr>
              <w:t xml:space="preserve"> a </w:t>
            </w:r>
            <w:proofErr w:type="spellStart"/>
            <w:r w:rsidRPr="00D06738">
              <w:rPr>
                <w:i/>
                <w:sz w:val="22"/>
                <w:szCs w:val="22"/>
                <w:lang w:val="lt-LT"/>
              </w:rPr>
              <w:t>prawo</w:t>
            </w:r>
            <w:proofErr w:type="spellEnd"/>
            <w:r w:rsidRPr="00D06738">
              <w:rPr>
                <w:i/>
                <w:sz w:val="22"/>
                <w:szCs w:val="22"/>
                <w:lang w:val="lt-LT"/>
              </w:rPr>
              <w:t xml:space="preserve"> </w:t>
            </w:r>
            <w:proofErr w:type="spellStart"/>
            <w:r w:rsidRPr="00D06738">
              <w:rPr>
                <w:i/>
                <w:sz w:val="22"/>
                <w:szCs w:val="22"/>
                <w:lang w:val="lt-LT"/>
              </w:rPr>
              <w:t>rzymskie</w:t>
            </w:r>
            <w:proofErr w:type="spellEnd"/>
            <w:r w:rsidRPr="00D06738">
              <w:rPr>
                <w:i/>
                <w:sz w:val="22"/>
                <w:szCs w:val="22"/>
                <w:lang w:val="lt-LT"/>
              </w:rPr>
              <w:t xml:space="preserve">, </w:t>
            </w:r>
            <w:proofErr w:type="spellStart"/>
            <w:r w:rsidRPr="00D06738">
              <w:rPr>
                <w:sz w:val="22"/>
                <w:szCs w:val="22"/>
                <w:lang w:val="lt-LT"/>
              </w:rPr>
              <w:t>Warszawa</w:t>
            </w:r>
            <w:proofErr w:type="spellEnd"/>
            <w:r w:rsidRPr="00D06738">
              <w:rPr>
                <w:sz w:val="22"/>
                <w:szCs w:val="22"/>
                <w:lang w:val="lt-LT"/>
              </w:rPr>
              <w:t>, 1999.</w:t>
            </w:r>
          </w:p>
          <w:p w:rsidR="007804DE" w:rsidRPr="00D06738" w:rsidRDefault="007804DE" w:rsidP="007804DE">
            <w:pPr>
              <w:numPr>
                <w:ilvl w:val="0"/>
                <w:numId w:val="1"/>
              </w:numPr>
              <w:rPr>
                <w:sz w:val="22"/>
                <w:szCs w:val="22"/>
                <w:lang w:val="lt-LT"/>
              </w:rPr>
            </w:pPr>
            <w:proofErr w:type="spellStart"/>
            <w:r w:rsidRPr="00D06738">
              <w:rPr>
                <w:sz w:val="22"/>
                <w:szCs w:val="22"/>
                <w:lang w:val="lt-LT"/>
              </w:rPr>
              <w:t>Lappo</w:t>
            </w:r>
            <w:proofErr w:type="spellEnd"/>
            <w:r w:rsidRPr="00D06738">
              <w:rPr>
                <w:sz w:val="22"/>
                <w:szCs w:val="22"/>
                <w:lang w:val="lt-LT"/>
              </w:rPr>
              <w:t xml:space="preserve"> J. </w:t>
            </w:r>
            <w:r w:rsidRPr="00D06738">
              <w:rPr>
                <w:i/>
                <w:iCs/>
                <w:sz w:val="22"/>
                <w:szCs w:val="22"/>
                <w:lang w:val="lt-LT"/>
              </w:rPr>
              <w:t>1588 metų Lietuvos Statutas.</w:t>
            </w:r>
            <w:r w:rsidRPr="00D06738">
              <w:rPr>
                <w:sz w:val="22"/>
                <w:szCs w:val="22"/>
                <w:lang w:val="lt-LT"/>
              </w:rPr>
              <w:t xml:space="preserve">  T. I-II.  Kaunas, 1934-1938.</w:t>
            </w:r>
          </w:p>
          <w:p w:rsidR="007804DE" w:rsidRPr="00D06738" w:rsidRDefault="007804DE" w:rsidP="007804DE">
            <w:pPr>
              <w:ind w:left="731" w:hanging="371"/>
              <w:rPr>
                <w:sz w:val="22"/>
                <w:szCs w:val="22"/>
                <w:lang w:val="lt-LT"/>
              </w:rPr>
            </w:pPr>
            <w:r w:rsidRPr="00D06738">
              <w:rPr>
                <w:sz w:val="22"/>
                <w:szCs w:val="22"/>
                <w:lang w:val="lt-LT"/>
              </w:rPr>
              <w:t>4.</w:t>
            </w:r>
            <w:r w:rsidRPr="00D06738">
              <w:rPr>
                <w:i/>
                <w:sz w:val="22"/>
                <w:szCs w:val="22"/>
                <w:lang w:val="lt-LT"/>
              </w:rPr>
              <w:t xml:space="preserve">   Lietuvos Statutas ir Lietuvos Didžiosios Kunigaikštystės bajoriškoji visuomenė.  </w:t>
            </w:r>
            <w:r w:rsidRPr="00D06738">
              <w:rPr>
                <w:sz w:val="22"/>
                <w:szCs w:val="22"/>
                <w:lang w:val="lt-LT"/>
              </w:rPr>
              <w:t xml:space="preserve">Straipsnių </w:t>
            </w:r>
            <w:r w:rsidRPr="00D06738">
              <w:rPr>
                <w:sz w:val="22"/>
                <w:szCs w:val="22"/>
                <w:lang w:val="lt-LT"/>
              </w:rPr>
              <w:t xml:space="preserve">          </w:t>
            </w:r>
            <w:r w:rsidRPr="00D06738">
              <w:rPr>
                <w:sz w:val="22"/>
                <w:szCs w:val="22"/>
                <w:lang w:val="lt-LT"/>
              </w:rPr>
              <w:t xml:space="preserve">rinkinys. Sudarė I. </w:t>
            </w:r>
            <w:proofErr w:type="spellStart"/>
            <w:r w:rsidRPr="00D06738">
              <w:rPr>
                <w:sz w:val="22"/>
                <w:szCs w:val="22"/>
                <w:lang w:val="lt-LT"/>
              </w:rPr>
              <w:t>Valikonytė</w:t>
            </w:r>
            <w:proofErr w:type="spellEnd"/>
            <w:r w:rsidRPr="00D06738">
              <w:rPr>
                <w:sz w:val="22"/>
                <w:szCs w:val="22"/>
                <w:lang w:val="lt-LT"/>
              </w:rPr>
              <w:t xml:space="preserve"> ir L. Steponavičienė. Vilnius, 2015. </w:t>
            </w:r>
          </w:p>
          <w:p w:rsidR="007804DE" w:rsidRPr="00D06738" w:rsidRDefault="007804DE" w:rsidP="007804DE">
            <w:pPr>
              <w:numPr>
                <w:ilvl w:val="0"/>
                <w:numId w:val="2"/>
              </w:numPr>
              <w:rPr>
                <w:sz w:val="22"/>
                <w:szCs w:val="22"/>
                <w:lang w:val="lt-LT"/>
              </w:rPr>
            </w:pPr>
            <w:proofErr w:type="spellStart"/>
            <w:r w:rsidRPr="00D06738">
              <w:rPr>
                <w:sz w:val="22"/>
                <w:szCs w:val="22"/>
                <w:lang w:val="lt-LT"/>
              </w:rPr>
              <w:t>Valikonytė</w:t>
            </w:r>
            <w:proofErr w:type="spellEnd"/>
            <w:r w:rsidRPr="00D06738">
              <w:rPr>
                <w:sz w:val="22"/>
                <w:szCs w:val="22"/>
                <w:lang w:val="lt-LT"/>
              </w:rPr>
              <w:t xml:space="preserve"> I., Lazutka S., Gudavičius E. </w:t>
            </w:r>
            <w:r w:rsidRPr="00D06738">
              <w:rPr>
                <w:i/>
                <w:iCs/>
                <w:sz w:val="22"/>
                <w:szCs w:val="22"/>
                <w:lang w:val="lt-LT"/>
              </w:rPr>
              <w:t>Pirmasis Lietuvos Statutas  (</w:t>
            </w:r>
            <w:smartTag w:uri="urn:schemas-microsoft-com:office:smarttags" w:element="metricconverter">
              <w:smartTagPr>
                <w:attr w:name="ProductID" w:val="1529 m"/>
              </w:smartTagPr>
              <w:r w:rsidRPr="00D06738">
                <w:rPr>
                  <w:i/>
                  <w:iCs/>
                  <w:sz w:val="22"/>
                  <w:szCs w:val="22"/>
                  <w:lang w:val="lt-LT"/>
                </w:rPr>
                <w:t>1529 m</w:t>
              </w:r>
            </w:smartTag>
            <w:r w:rsidRPr="00D06738">
              <w:rPr>
                <w:i/>
                <w:iCs/>
                <w:sz w:val="22"/>
                <w:szCs w:val="22"/>
                <w:lang w:val="lt-LT"/>
              </w:rPr>
              <w:t>.).</w:t>
            </w:r>
            <w:r w:rsidRPr="00D06738">
              <w:rPr>
                <w:sz w:val="22"/>
                <w:szCs w:val="22"/>
                <w:lang w:val="lt-LT"/>
              </w:rPr>
              <w:t xml:space="preserve"> Vilnius, 2001.</w:t>
            </w:r>
          </w:p>
          <w:p w:rsidR="007804DE" w:rsidRPr="00D06738" w:rsidRDefault="007804DE">
            <w:pPr>
              <w:rPr>
                <w:sz w:val="22"/>
                <w:szCs w:val="22"/>
                <w:lang w:val="lt-LT"/>
              </w:rPr>
            </w:pPr>
          </w:p>
          <w:p w:rsidR="007804DE" w:rsidRPr="00D06738" w:rsidRDefault="007804DE" w:rsidP="0053074A">
            <w:pPr>
              <w:rPr>
                <w:sz w:val="22"/>
                <w:szCs w:val="22"/>
                <w:lang w:val="lt-LT"/>
              </w:rPr>
            </w:pPr>
          </w:p>
        </w:tc>
      </w:tr>
      <w:tr w:rsidR="00D83738" w:rsidRPr="00D06738" w:rsidTr="00D0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D06738" w:rsidRDefault="00027F73">
            <w:pPr>
              <w:rPr>
                <w:sz w:val="22"/>
                <w:szCs w:val="22"/>
                <w:lang w:val="lt-LT"/>
              </w:rPr>
            </w:pPr>
            <w:proofErr w:type="spellStart"/>
            <w:r w:rsidRPr="00D06738">
              <w:rPr>
                <w:sz w:val="22"/>
                <w:szCs w:val="22"/>
                <w:lang w:val="lt-LT"/>
              </w:rPr>
              <w:lastRenderedPageBreak/>
              <w:t>Supervising</w:t>
            </w:r>
            <w:proofErr w:type="spellEnd"/>
            <w:r w:rsidRPr="00D06738">
              <w:rPr>
                <w:sz w:val="22"/>
                <w:szCs w:val="22"/>
                <w:lang w:val="lt-LT"/>
              </w:rPr>
              <w:t xml:space="preserve"> </w:t>
            </w:r>
            <w:proofErr w:type="spellStart"/>
            <w:r w:rsidRPr="00D06738">
              <w:rPr>
                <w:sz w:val="22"/>
                <w:szCs w:val="22"/>
                <w:lang w:val="lt-LT"/>
              </w:rPr>
              <w:t>lecturers</w:t>
            </w:r>
            <w:proofErr w:type="spellEnd"/>
            <w:r w:rsidRPr="00D06738">
              <w:rPr>
                <w:sz w:val="22"/>
                <w:szCs w:val="22"/>
                <w:lang w:val="lt-LT"/>
              </w:rPr>
              <w:t xml:space="preserve">‘ </w:t>
            </w:r>
            <w:proofErr w:type="spellStart"/>
            <w:r w:rsidR="00B65DF1" w:rsidRPr="00D06738">
              <w:rPr>
                <w:sz w:val="22"/>
                <w:szCs w:val="22"/>
                <w:lang w:val="lt-LT"/>
              </w:rPr>
              <w:t>names</w:t>
            </w:r>
            <w:proofErr w:type="spellEnd"/>
            <w:r w:rsidR="00883F45" w:rsidRPr="00D06738">
              <w:rPr>
                <w:sz w:val="22"/>
                <w:szCs w:val="22"/>
                <w:lang w:val="lt-LT"/>
              </w:rPr>
              <w:t xml:space="preserve"> </w:t>
            </w:r>
            <w:proofErr w:type="spellStart"/>
            <w:r w:rsidR="00883F45" w:rsidRPr="00D06738">
              <w:rPr>
                <w:sz w:val="22"/>
                <w:szCs w:val="22"/>
                <w:lang w:val="lt-LT"/>
              </w:rPr>
              <w:t>and</w:t>
            </w:r>
            <w:proofErr w:type="spellEnd"/>
            <w:r w:rsidR="00883F45" w:rsidRPr="00D06738">
              <w:rPr>
                <w:sz w:val="22"/>
                <w:szCs w:val="22"/>
                <w:lang w:val="lt-LT"/>
              </w:rPr>
              <w:t xml:space="preserve"> </w:t>
            </w:r>
            <w:proofErr w:type="spellStart"/>
            <w:r w:rsidR="00883F45" w:rsidRPr="00D06738">
              <w:rPr>
                <w:sz w:val="22"/>
                <w:szCs w:val="22"/>
                <w:lang w:val="lt-LT"/>
              </w:rPr>
              <w:t>surname</w:t>
            </w:r>
            <w:r w:rsidR="00B65DF1" w:rsidRPr="00D06738">
              <w:rPr>
                <w:sz w:val="22"/>
                <w:szCs w:val="22"/>
                <w:lang w:val="lt-LT"/>
              </w:rPr>
              <w:t>s</w:t>
            </w:r>
            <w:proofErr w:type="spellEnd"/>
            <w:r w:rsidR="00883F45" w:rsidRPr="00D06738">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D06738" w:rsidRDefault="003171A5">
            <w:pPr>
              <w:rPr>
                <w:sz w:val="22"/>
                <w:szCs w:val="22"/>
                <w:lang w:val="lt-LT"/>
              </w:rPr>
            </w:pPr>
            <w:proofErr w:type="spellStart"/>
            <w:r w:rsidRPr="00D06738">
              <w:rPr>
                <w:sz w:val="22"/>
                <w:szCs w:val="22"/>
                <w:lang w:val="lt-LT"/>
              </w:rPr>
              <w:t>Academic</w:t>
            </w:r>
            <w:proofErr w:type="spellEnd"/>
            <w:r w:rsidRPr="00D06738">
              <w:rPr>
                <w:sz w:val="22"/>
                <w:szCs w:val="22"/>
                <w:lang w:val="lt-LT"/>
              </w:rPr>
              <w:t xml:space="preserve"> </w:t>
            </w:r>
            <w:proofErr w:type="spellStart"/>
            <w:r w:rsidRPr="00D06738">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D06738" w:rsidRDefault="00ED2DF9">
            <w:pPr>
              <w:rPr>
                <w:sz w:val="22"/>
                <w:szCs w:val="22"/>
                <w:lang w:val="lt-LT"/>
              </w:rPr>
            </w:pPr>
            <w:proofErr w:type="spellStart"/>
            <w:r w:rsidRPr="00D06738">
              <w:rPr>
                <w:sz w:val="22"/>
                <w:szCs w:val="22"/>
                <w:lang w:val="lt-LT"/>
              </w:rPr>
              <w:t>Major</w:t>
            </w:r>
            <w:proofErr w:type="spellEnd"/>
            <w:r w:rsidRPr="00D06738">
              <w:rPr>
                <w:sz w:val="22"/>
                <w:szCs w:val="22"/>
                <w:lang w:val="lt-LT"/>
              </w:rPr>
              <w:t xml:space="preserve"> </w:t>
            </w:r>
            <w:proofErr w:type="spellStart"/>
            <w:r w:rsidRPr="00D06738">
              <w:rPr>
                <w:sz w:val="22"/>
                <w:szCs w:val="22"/>
                <w:lang w:val="lt-LT"/>
              </w:rPr>
              <w:t>works</w:t>
            </w:r>
            <w:proofErr w:type="spellEnd"/>
            <w:r w:rsidRPr="00D06738">
              <w:rPr>
                <w:sz w:val="22"/>
                <w:szCs w:val="22"/>
                <w:lang w:val="lt-LT"/>
              </w:rPr>
              <w:t xml:space="preserve"> </w:t>
            </w:r>
            <w:proofErr w:type="spellStart"/>
            <w:r w:rsidRPr="00D06738">
              <w:rPr>
                <w:sz w:val="22"/>
                <w:szCs w:val="22"/>
                <w:lang w:val="lt-LT"/>
              </w:rPr>
              <w:t>in</w:t>
            </w:r>
            <w:proofErr w:type="spellEnd"/>
            <w:r w:rsidRPr="00D06738">
              <w:rPr>
                <w:sz w:val="22"/>
                <w:szCs w:val="22"/>
                <w:lang w:val="lt-LT"/>
              </w:rPr>
              <w:t xml:space="preserve"> </w:t>
            </w:r>
            <w:proofErr w:type="spellStart"/>
            <w:r w:rsidRPr="00D06738">
              <w:rPr>
                <w:sz w:val="22"/>
                <w:szCs w:val="22"/>
                <w:lang w:val="lt-LT"/>
              </w:rPr>
              <w:t>the</w:t>
            </w:r>
            <w:proofErr w:type="spellEnd"/>
            <w:r w:rsidRPr="00D06738">
              <w:rPr>
                <w:sz w:val="22"/>
                <w:szCs w:val="22"/>
                <w:lang w:val="lt-LT"/>
              </w:rPr>
              <w:t xml:space="preserve"> </w:t>
            </w:r>
            <w:proofErr w:type="spellStart"/>
            <w:r w:rsidRPr="00D06738">
              <w:rPr>
                <w:sz w:val="22"/>
                <w:szCs w:val="22"/>
                <w:lang w:val="lt-LT"/>
              </w:rPr>
              <w:t>field</w:t>
            </w:r>
            <w:proofErr w:type="spellEnd"/>
            <w:r w:rsidRPr="00D06738">
              <w:rPr>
                <w:sz w:val="22"/>
                <w:szCs w:val="22"/>
                <w:lang w:val="lt-LT"/>
              </w:rPr>
              <w:t xml:space="preserve"> (</w:t>
            </w:r>
            <w:proofErr w:type="spellStart"/>
            <w:r w:rsidRPr="00D06738">
              <w:rPr>
                <w:sz w:val="22"/>
                <w:szCs w:val="22"/>
                <w:lang w:val="lt-LT"/>
              </w:rPr>
              <w:t>branch</w:t>
            </w:r>
            <w:proofErr w:type="spellEnd"/>
            <w:r w:rsidRPr="00D06738">
              <w:rPr>
                <w:sz w:val="22"/>
                <w:szCs w:val="22"/>
                <w:lang w:val="lt-LT"/>
              </w:rPr>
              <w:t xml:space="preserve">) </w:t>
            </w:r>
            <w:proofErr w:type="spellStart"/>
            <w:r w:rsidRPr="00D06738">
              <w:rPr>
                <w:sz w:val="22"/>
                <w:szCs w:val="22"/>
                <w:lang w:val="lt-LT"/>
              </w:rPr>
              <w:t>published</w:t>
            </w:r>
            <w:proofErr w:type="spellEnd"/>
            <w:r w:rsidRPr="00D06738">
              <w:rPr>
                <w:sz w:val="22"/>
                <w:szCs w:val="22"/>
                <w:lang w:val="lt-LT"/>
              </w:rPr>
              <w:t xml:space="preserve"> </w:t>
            </w:r>
            <w:proofErr w:type="spellStart"/>
            <w:r w:rsidRPr="00D06738">
              <w:rPr>
                <w:sz w:val="22"/>
                <w:szCs w:val="22"/>
                <w:lang w:val="lt-LT"/>
              </w:rPr>
              <w:t>in</w:t>
            </w:r>
            <w:proofErr w:type="spellEnd"/>
            <w:r w:rsidRPr="00D06738">
              <w:rPr>
                <w:sz w:val="22"/>
                <w:szCs w:val="22"/>
                <w:lang w:val="lt-LT"/>
              </w:rPr>
              <w:t xml:space="preserve"> </w:t>
            </w:r>
            <w:proofErr w:type="spellStart"/>
            <w:r w:rsidRPr="00D06738">
              <w:rPr>
                <w:sz w:val="22"/>
                <w:szCs w:val="22"/>
                <w:lang w:val="lt-LT"/>
              </w:rPr>
              <w:t>the</w:t>
            </w:r>
            <w:proofErr w:type="spellEnd"/>
            <w:r w:rsidRPr="00D06738">
              <w:rPr>
                <w:sz w:val="22"/>
                <w:szCs w:val="22"/>
                <w:lang w:val="lt-LT"/>
              </w:rPr>
              <w:t xml:space="preserve"> </w:t>
            </w:r>
            <w:proofErr w:type="spellStart"/>
            <w:r w:rsidRPr="00D06738">
              <w:rPr>
                <w:sz w:val="22"/>
                <w:szCs w:val="22"/>
                <w:lang w:val="lt-LT"/>
              </w:rPr>
              <w:t>recent</w:t>
            </w:r>
            <w:proofErr w:type="spellEnd"/>
            <w:r w:rsidRPr="00D06738">
              <w:rPr>
                <w:sz w:val="22"/>
                <w:szCs w:val="22"/>
                <w:lang w:val="lt-LT"/>
              </w:rPr>
              <w:t xml:space="preserve"> 5 </w:t>
            </w:r>
            <w:proofErr w:type="spellStart"/>
            <w:r w:rsidRPr="00D06738">
              <w:rPr>
                <w:sz w:val="22"/>
                <w:szCs w:val="22"/>
                <w:lang w:val="lt-LT"/>
              </w:rPr>
              <w:t>years</w:t>
            </w:r>
            <w:proofErr w:type="spellEnd"/>
          </w:p>
        </w:tc>
      </w:tr>
      <w:tr w:rsidR="007804DE" w:rsidRPr="00D06738" w:rsidTr="00D0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7804DE" w:rsidRPr="00D06738" w:rsidRDefault="007804DE" w:rsidP="007804DE">
            <w:pPr>
              <w:rPr>
                <w:sz w:val="22"/>
                <w:szCs w:val="22"/>
                <w:lang w:val="lt-LT"/>
              </w:rPr>
            </w:pPr>
            <w:bookmarkStart w:id="0" w:name="_GoBack"/>
            <w:r w:rsidRPr="00D06738">
              <w:rPr>
                <w:sz w:val="22"/>
                <w:szCs w:val="22"/>
                <w:lang w:val="lt-LT"/>
              </w:rPr>
              <w:t xml:space="preserve">Irena </w:t>
            </w:r>
            <w:proofErr w:type="spellStart"/>
            <w:r w:rsidRPr="00D06738">
              <w:rPr>
                <w:sz w:val="22"/>
                <w:szCs w:val="22"/>
                <w:lang w:val="lt-LT"/>
              </w:rPr>
              <w:t>Valikonytė</w:t>
            </w:r>
            <w:proofErr w:type="spellEnd"/>
          </w:p>
          <w:p w:rsidR="007804DE" w:rsidRPr="00D06738" w:rsidRDefault="007804DE">
            <w:pPr>
              <w:jc w:val="center"/>
              <w:rPr>
                <w:b/>
                <w:sz w:val="22"/>
                <w:szCs w:val="22"/>
                <w:lang w:val="lt-LT"/>
              </w:rPr>
            </w:pPr>
          </w:p>
          <w:p w:rsidR="007804DE" w:rsidRPr="00D06738" w:rsidRDefault="007804DE" w:rsidP="005A1559">
            <w:pPr>
              <w:jc w:val="center"/>
              <w:rPr>
                <w:sz w:val="22"/>
                <w:szCs w:val="22"/>
                <w:lang w:val="lt-LT"/>
              </w:rPr>
            </w:pPr>
          </w:p>
        </w:tc>
        <w:tc>
          <w:tcPr>
            <w:tcW w:w="1701" w:type="dxa"/>
            <w:tcBorders>
              <w:left w:val="single" w:sz="12" w:space="0" w:color="auto"/>
            </w:tcBorders>
          </w:tcPr>
          <w:p w:rsidR="007804DE" w:rsidRPr="00D06738" w:rsidRDefault="007804DE" w:rsidP="007804DE">
            <w:pPr>
              <w:rPr>
                <w:sz w:val="22"/>
                <w:szCs w:val="22"/>
                <w:lang w:val="lt-LT"/>
              </w:rPr>
            </w:pPr>
            <w:r w:rsidRPr="00D06738">
              <w:rPr>
                <w:sz w:val="22"/>
                <w:szCs w:val="22"/>
                <w:lang w:val="lt-LT"/>
              </w:rPr>
              <w:t xml:space="preserve">Dr., </w:t>
            </w:r>
            <w:proofErr w:type="spellStart"/>
            <w:r w:rsidRPr="00D06738">
              <w:rPr>
                <w:sz w:val="22"/>
                <w:szCs w:val="22"/>
                <w:lang w:val="lt-LT"/>
              </w:rPr>
              <w:t>Professor</w:t>
            </w:r>
            <w:proofErr w:type="spellEnd"/>
          </w:p>
        </w:tc>
        <w:tc>
          <w:tcPr>
            <w:tcW w:w="4643" w:type="dxa"/>
            <w:tcBorders>
              <w:left w:val="single" w:sz="12" w:space="0" w:color="auto"/>
              <w:right w:val="single" w:sz="12" w:space="0" w:color="auto"/>
            </w:tcBorders>
          </w:tcPr>
          <w:p w:rsidR="00D06738" w:rsidRPr="00D06738" w:rsidRDefault="00D06738" w:rsidP="00D06738">
            <w:pPr>
              <w:jc w:val="both"/>
              <w:rPr>
                <w:i/>
                <w:iCs/>
                <w:sz w:val="22"/>
                <w:szCs w:val="22"/>
                <w:lang w:val="lt-LT"/>
              </w:rPr>
            </w:pPr>
            <w:r w:rsidRPr="00D06738">
              <w:rPr>
                <w:sz w:val="22"/>
                <w:szCs w:val="22"/>
                <w:lang w:val="lt-LT"/>
              </w:rPr>
              <w:t xml:space="preserve">1. </w:t>
            </w:r>
            <w:proofErr w:type="spellStart"/>
            <w:r w:rsidRPr="00D06738">
              <w:rPr>
                <w:sz w:val="22"/>
                <w:szCs w:val="22"/>
                <w:lang w:val="lt-LT"/>
              </w:rPr>
              <w:t>Struktura</w:t>
            </w:r>
            <w:proofErr w:type="spellEnd"/>
            <w:r w:rsidRPr="00D06738">
              <w:rPr>
                <w:sz w:val="22"/>
                <w:szCs w:val="22"/>
                <w:lang w:val="lt-LT"/>
              </w:rPr>
              <w:t xml:space="preserve"> i </w:t>
            </w:r>
            <w:proofErr w:type="spellStart"/>
            <w:r w:rsidRPr="00D06738">
              <w:rPr>
                <w:sz w:val="22"/>
                <w:szCs w:val="22"/>
                <w:lang w:val="lt-LT"/>
              </w:rPr>
              <w:t>zasady</w:t>
            </w:r>
            <w:proofErr w:type="spellEnd"/>
            <w:r w:rsidRPr="00D06738">
              <w:rPr>
                <w:sz w:val="22"/>
                <w:szCs w:val="22"/>
                <w:lang w:val="lt-LT"/>
              </w:rPr>
              <w:t xml:space="preserve"> </w:t>
            </w:r>
            <w:proofErr w:type="spellStart"/>
            <w:r w:rsidRPr="00D06738">
              <w:rPr>
                <w:sz w:val="22"/>
                <w:szCs w:val="22"/>
                <w:lang w:val="lt-LT"/>
              </w:rPr>
              <w:t>kompletowania</w:t>
            </w:r>
            <w:proofErr w:type="spellEnd"/>
            <w:r w:rsidRPr="00D06738">
              <w:rPr>
                <w:sz w:val="22"/>
                <w:szCs w:val="22"/>
                <w:lang w:val="lt-LT"/>
              </w:rPr>
              <w:t xml:space="preserve"> </w:t>
            </w:r>
            <w:proofErr w:type="spellStart"/>
            <w:r w:rsidRPr="00D06738">
              <w:rPr>
                <w:sz w:val="22"/>
                <w:szCs w:val="22"/>
                <w:lang w:val="lt-LT"/>
              </w:rPr>
              <w:t>ksiąg</w:t>
            </w:r>
            <w:proofErr w:type="spellEnd"/>
            <w:r w:rsidRPr="00D06738">
              <w:rPr>
                <w:sz w:val="22"/>
                <w:szCs w:val="22"/>
                <w:lang w:val="lt-LT"/>
              </w:rPr>
              <w:t xml:space="preserve"> </w:t>
            </w:r>
            <w:proofErr w:type="spellStart"/>
            <w:r w:rsidRPr="00D06738">
              <w:rPr>
                <w:sz w:val="22"/>
                <w:szCs w:val="22"/>
                <w:lang w:val="lt-LT"/>
              </w:rPr>
              <w:t>sądowych</w:t>
            </w:r>
            <w:proofErr w:type="spellEnd"/>
            <w:r w:rsidRPr="00D06738">
              <w:rPr>
                <w:sz w:val="22"/>
                <w:szCs w:val="22"/>
                <w:lang w:val="lt-LT"/>
              </w:rPr>
              <w:t xml:space="preserve"> </w:t>
            </w:r>
            <w:proofErr w:type="spellStart"/>
            <w:r w:rsidRPr="00D06738">
              <w:rPr>
                <w:sz w:val="22"/>
                <w:szCs w:val="22"/>
                <w:lang w:val="lt-LT"/>
              </w:rPr>
              <w:t>Metryki</w:t>
            </w:r>
            <w:proofErr w:type="spellEnd"/>
            <w:r w:rsidRPr="00D06738">
              <w:rPr>
                <w:sz w:val="22"/>
                <w:szCs w:val="22"/>
                <w:lang w:val="lt-LT"/>
              </w:rPr>
              <w:t xml:space="preserve"> </w:t>
            </w:r>
            <w:proofErr w:type="spellStart"/>
            <w:r w:rsidRPr="00D06738">
              <w:rPr>
                <w:sz w:val="22"/>
                <w:szCs w:val="22"/>
                <w:lang w:val="lt-LT"/>
              </w:rPr>
              <w:t>Litewskiej</w:t>
            </w:r>
            <w:proofErr w:type="spellEnd"/>
            <w:r w:rsidRPr="00D06738">
              <w:rPr>
                <w:sz w:val="22"/>
                <w:szCs w:val="22"/>
                <w:lang w:val="lt-LT"/>
              </w:rPr>
              <w:t xml:space="preserve"> </w:t>
            </w:r>
            <w:proofErr w:type="spellStart"/>
            <w:r w:rsidRPr="00D06738">
              <w:rPr>
                <w:sz w:val="22"/>
                <w:szCs w:val="22"/>
                <w:lang w:val="lt-LT"/>
              </w:rPr>
              <w:t>Zygmunta</w:t>
            </w:r>
            <w:proofErr w:type="spellEnd"/>
            <w:r w:rsidRPr="00D06738">
              <w:rPr>
                <w:sz w:val="22"/>
                <w:szCs w:val="22"/>
                <w:lang w:val="lt-LT"/>
              </w:rPr>
              <w:t xml:space="preserve"> Augusta, </w:t>
            </w:r>
            <w:proofErr w:type="spellStart"/>
            <w:r w:rsidRPr="00D06738">
              <w:rPr>
                <w:rStyle w:val="Emphasis"/>
                <w:sz w:val="22"/>
                <w:szCs w:val="22"/>
              </w:rPr>
              <w:t>Rocznik</w:t>
            </w:r>
            <w:proofErr w:type="spellEnd"/>
            <w:r w:rsidRPr="00D06738">
              <w:rPr>
                <w:sz w:val="22"/>
                <w:szCs w:val="22"/>
                <w:lang w:val="lt-LT"/>
              </w:rPr>
              <w:t xml:space="preserve"> </w:t>
            </w:r>
            <w:proofErr w:type="spellStart"/>
            <w:r w:rsidRPr="00D06738">
              <w:rPr>
                <w:rStyle w:val="Emphasis"/>
                <w:sz w:val="22"/>
                <w:szCs w:val="22"/>
              </w:rPr>
              <w:t>Lituanistyczny</w:t>
            </w:r>
            <w:proofErr w:type="spellEnd"/>
            <w:r w:rsidRPr="00D06738">
              <w:rPr>
                <w:sz w:val="22"/>
                <w:szCs w:val="22"/>
                <w:lang w:val="lt-LT"/>
              </w:rPr>
              <w:t xml:space="preserve">, t.4, Rok 2018, </w:t>
            </w:r>
            <w:proofErr w:type="spellStart"/>
            <w:r w:rsidRPr="00D06738">
              <w:rPr>
                <w:sz w:val="22"/>
                <w:szCs w:val="22"/>
                <w:lang w:val="lt-LT"/>
              </w:rPr>
              <w:t>Warszawa</w:t>
            </w:r>
            <w:proofErr w:type="spellEnd"/>
            <w:r w:rsidRPr="00D06738">
              <w:rPr>
                <w:sz w:val="22"/>
                <w:szCs w:val="22"/>
                <w:lang w:val="lt-LT"/>
              </w:rPr>
              <w:t>, 2018, s.7-23</w:t>
            </w:r>
            <w:r w:rsidRPr="00D06738">
              <w:rPr>
                <w:i/>
                <w:iCs/>
                <w:sz w:val="22"/>
                <w:szCs w:val="22"/>
                <w:lang w:val="lt-LT"/>
              </w:rPr>
              <w:t>.</w:t>
            </w:r>
          </w:p>
          <w:p w:rsidR="00D06738" w:rsidRPr="00D06738" w:rsidRDefault="00D06738" w:rsidP="00D06738">
            <w:pPr>
              <w:jc w:val="both"/>
              <w:rPr>
                <w:sz w:val="22"/>
                <w:szCs w:val="22"/>
                <w:lang w:val="lt-LT"/>
              </w:rPr>
            </w:pPr>
            <w:r w:rsidRPr="00D06738">
              <w:rPr>
                <w:i/>
                <w:iCs/>
                <w:sz w:val="22"/>
                <w:szCs w:val="22"/>
                <w:lang w:val="lt-LT"/>
              </w:rPr>
              <w:t xml:space="preserve"> </w:t>
            </w:r>
            <w:r w:rsidRPr="00D06738">
              <w:rPr>
                <w:sz w:val="22"/>
                <w:szCs w:val="22"/>
              </w:rPr>
              <w:t xml:space="preserve">2. </w:t>
            </w:r>
            <w:proofErr w:type="spellStart"/>
            <w:r w:rsidRPr="00D06738">
              <w:rPr>
                <w:rStyle w:val="Emphasis"/>
                <w:sz w:val="22"/>
                <w:szCs w:val="22"/>
              </w:rPr>
              <w:t>Lietuvos</w:t>
            </w:r>
            <w:proofErr w:type="spellEnd"/>
            <w:r w:rsidRPr="00D06738">
              <w:rPr>
                <w:i/>
                <w:iCs/>
                <w:sz w:val="22"/>
                <w:szCs w:val="22"/>
                <w:lang w:val="lt-LT"/>
              </w:rPr>
              <w:t xml:space="preserve"> Metrika (1554-1568). 35-oji Teismų bylų knyga</w:t>
            </w:r>
            <w:r w:rsidRPr="00D06738">
              <w:rPr>
                <w:sz w:val="22"/>
                <w:szCs w:val="22"/>
                <w:lang w:val="lt-LT"/>
              </w:rPr>
              <w:t>. Vilnius, 2018. – XXXIV+761 p.</w:t>
            </w:r>
          </w:p>
          <w:p w:rsidR="00D06738" w:rsidRPr="00D06738" w:rsidRDefault="00D06738" w:rsidP="00D06738">
            <w:pPr>
              <w:jc w:val="both"/>
              <w:rPr>
                <w:sz w:val="22"/>
                <w:szCs w:val="22"/>
                <w:lang w:val="lt-LT"/>
              </w:rPr>
            </w:pPr>
            <w:r w:rsidRPr="00D06738">
              <w:rPr>
                <w:sz w:val="22"/>
                <w:szCs w:val="22"/>
                <w:lang w:val="lt-LT"/>
              </w:rPr>
              <w:t>3. „Skundą privalo šaukimuose išdėstyti“: Šaukimų į teismą reglamentavimas Pirmajame ir Antrajame  Lietuvos</w:t>
            </w:r>
            <w:r w:rsidRPr="00D06738">
              <w:rPr>
                <w:i/>
                <w:sz w:val="22"/>
                <w:szCs w:val="22"/>
                <w:lang w:val="lt-LT"/>
              </w:rPr>
              <w:t xml:space="preserve"> </w:t>
            </w:r>
            <w:r w:rsidRPr="00D06738">
              <w:rPr>
                <w:sz w:val="22"/>
                <w:szCs w:val="22"/>
                <w:lang w:val="lt-LT"/>
              </w:rPr>
              <w:t>Statutuose,</w:t>
            </w:r>
            <w:r w:rsidRPr="00D06738">
              <w:rPr>
                <w:i/>
                <w:sz w:val="22"/>
                <w:szCs w:val="22"/>
                <w:lang w:val="lt-LT"/>
              </w:rPr>
              <w:t xml:space="preserve"> Lietuvos Statutas: Temidės ir </w:t>
            </w:r>
            <w:proofErr w:type="spellStart"/>
            <w:r w:rsidRPr="00D06738">
              <w:rPr>
                <w:i/>
                <w:sz w:val="22"/>
                <w:szCs w:val="22"/>
                <w:lang w:val="lt-LT"/>
              </w:rPr>
              <w:t>Klėjos</w:t>
            </w:r>
            <w:proofErr w:type="spellEnd"/>
            <w:r w:rsidRPr="00D06738">
              <w:rPr>
                <w:i/>
                <w:sz w:val="22"/>
                <w:szCs w:val="22"/>
                <w:lang w:val="lt-LT"/>
              </w:rPr>
              <w:t xml:space="preserve"> teritorijos. Straipsnių rinkinys. </w:t>
            </w:r>
            <w:r w:rsidRPr="00D06738">
              <w:rPr>
                <w:sz w:val="22"/>
                <w:szCs w:val="22"/>
                <w:lang w:val="lt-LT"/>
              </w:rPr>
              <w:t xml:space="preserve">Sudarė </w:t>
            </w:r>
            <w:proofErr w:type="spellStart"/>
            <w:r w:rsidRPr="00D06738">
              <w:rPr>
                <w:sz w:val="22"/>
                <w:szCs w:val="22"/>
                <w:lang w:val="lt-LT"/>
              </w:rPr>
              <w:t>I.Valikonytė</w:t>
            </w:r>
            <w:proofErr w:type="spellEnd"/>
            <w:r w:rsidRPr="00D06738">
              <w:rPr>
                <w:sz w:val="22"/>
                <w:szCs w:val="22"/>
                <w:lang w:val="lt-LT"/>
              </w:rPr>
              <w:t xml:space="preserve"> ir </w:t>
            </w:r>
            <w:proofErr w:type="spellStart"/>
            <w:r w:rsidRPr="00D06738">
              <w:rPr>
                <w:sz w:val="22"/>
                <w:szCs w:val="22"/>
                <w:lang w:val="lt-LT"/>
              </w:rPr>
              <w:t>N.Šlimienė</w:t>
            </w:r>
            <w:proofErr w:type="spellEnd"/>
            <w:r w:rsidRPr="00D06738">
              <w:rPr>
                <w:i/>
                <w:sz w:val="22"/>
                <w:szCs w:val="22"/>
                <w:lang w:val="lt-LT"/>
              </w:rPr>
              <w:t xml:space="preserve">, </w:t>
            </w:r>
            <w:r w:rsidRPr="00D06738">
              <w:rPr>
                <w:sz w:val="22"/>
                <w:szCs w:val="22"/>
                <w:lang w:val="lt-LT"/>
              </w:rPr>
              <w:t xml:space="preserve">Vilnius, 2017, p. 241-258. </w:t>
            </w:r>
          </w:p>
          <w:p w:rsidR="00D06738" w:rsidRPr="00D06738" w:rsidRDefault="00D06738" w:rsidP="00D06738">
            <w:pPr>
              <w:jc w:val="both"/>
              <w:rPr>
                <w:sz w:val="22"/>
                <w:szCs w:val="22"/>
                <w:lang w:val="lt-LT"/>
              </w:rPr>
            </w:pPr>
            <w:r w:rsidRPr="00D06738">
              <w:rPr>
                <w:sz w:val="22"/>
                <w:szCs w:val="22"/>
                <w:lang w:val="lt-LT"/>
              </w:rPr>
              <w:t xml:space="preserve">4. Dokumentas teismo proceso įrodymų hierarchijoje Lietuvos Didžiojoje Kunigaikštystėje XV a. pabaigoje - XVI a. pirmoje pusėje, </w:t>
            </w:r>
            <w:r w:rsidRPr="00D06738">
              <w:rPr>
                <w:rStyle w:val="Emphasis"/>
                <w:sz w:val="22"/>
                <w:szCs w:val="22"/>
                <w:lang w:val="lt-LT"/>
              </w:rPr>
              <w:t>Lietuvos istorijos studijos</w:t>
            </w:r>
            <w:r w:rsidRPr="00D06738">
              <w:rPr>
                <w:sz w:val="22"/>
                <w:szCs w:val="22"/>
                <w:lang w:val="lt-LT"/>
              </w:rPr>
              <w:t xml:space="preserve">, t.46, 2020, p.8-24. </w:t>
            </w:r>
          </w:p>
          <w:p w:rsidR="00D06738" w:rsidRPr="00D06738" w:rsidRDefault="00D06738" w:rsidP="00D06738">
            <w:pPr>
              <w:jc w:val="both"/>
              <w:rPr>
                <w:iCs/>
                <w:sz w:val="22"/>
                <w:szCs w:val="22"/>
                <w:lang w:val="lt-LT"/>
              </w:rPr>
            </w:pPr>
            <w:r w:rsidRPr="00D06738">
              <w:rPr>
                <w:sz w:val="22"/>
                <w:szCs w:val="22"/>
                <w:lang w:val="lt-LT"/>
              </w:rPr>
              <w:t>5</w:t>
            </w:r>
            <w:r w:rsidRPr="00D06738">
              <w:rPr>
                <w:i/>
                <w:iCs/>
                <w:sz w:val="22"/>
                <w:szCs w:val="22"/>
                <w:lang w:val="lt-LT"/>
              </w:rPr>
              <w:t xml:space="preserve">. </w:t>
            </w:r>
            <w:proofErr w:type="spellStart"/>
            <w:r w:rsidRPr="00D06738">
              <w:rPr>
                <w:iCs/>
                <w:sz w:val="22"/>
                <w:szCs w:val="22"/>
                <w:lang w:val="lt-LT"/>
              </w:rPr>
              <w:t>The</w:t>
            </w:r>
            <w:proofErr w:type="spellEnd"/>
            <w:r w:rsidRPr="00D06738">
              <w:rPr>
                <w:iCs/>
                <w:sz w:val="22"/>
                <w:szCs w:val="22"/>
                <w:lang w:val="lt-LT"/>
              </w:rPr>
              <w:t xml:space="preserve"> </w:t>
            </w:r>
            <w:proofErr w:type="spellStart"/>
            <w:r w:rsidRPr="00D06738">
              <w:rPr>
                <w:iCs/>
                <w:sz w:val="22"/>
                <w:szCs w:val="22"/>
                <w:lang w:val="lt-LT"/>
              </w:rPr>
              <w:t>Lithuanians</w:t>
            </w:r>
            <w:proofErr w:type="spellEnd"/>
            <w:r w:rsidRPr="00D06738">
              <w:rPr>
                <w:iCs/>
                <w:sz w:val="22"/>
                <w:szCs w:val="22"/>
                <w:lang w:val="lt-LT"/>
              </w:rPr>
              <w:t xml:space="preserve"> Statutes: </w:t>
            </w:r>
            <w:proofErr w:type="spellStart"/>
            <w:r w:rsidRPr="00D06738">
              <w:rPr>
                <w:iCs/>
                <w:sz w:val="22"/>
                <w:szCs w:val="22"/>
                <w:lang w:val="lt-LT"/>
              </w:rPr>
              <w:t>The</w:t>
            </w:r>
            <w:proofErr w:type="spellEnd"/>
            <w:r w:rsidRPr="00D06738">
              <w:rPr>
                <w:iCs/>
                <w:sz w:val="22"/>
                <w:szCs w:val="22"/>
                <w:lang w:val="lt-LT"/>
              </w:rPr>
              <w:t xml:space="preserve"> </w:t>
            </w:r>
            <w:proofErr w:type="spellStart"/>
            <w:r w:rsidRPr="00D06738">
              <w:rPr>
                <w:iCs/>
                <w:sz w:val="22"/>
                <w:szCs w:val="22"/>
                <w:lang w:val="lt-LT"/>
              </w:rPr>
              <w:t>Childhood</w:t>
            </w:r>
            <w:proofErr w:type="spellEnd"/>
            <w:r w:rsidRPr="00D06738">
              <w:rPr>
                <w:iCs/>
                <w:sz w:val="22"/>
                <w:szCs w:val="22"/>
                <w:lang w:val="lt-LT"/>
              </w:rPr>
              <w:t xml:space="preserve"> </w:t>
            </w:r>
            <w:proofErr w:type="spellStart"/>
            <w:r w:rsidRPr="00D06738">
              <w:rPr>
                <w:iCs/>
                <w:sz w:val="22"/>
                <w:szCs w:val="22"/>
                <w:lang w:val="lt-LT"/>
              </w:rPr>
              <w:t>of</w:t>
            </w:r>
            <w:proofErr w:type="spellEnd"/>
            <w:r w:rsidRPr="00D06738">
              <w:rPr>
                <w:iCs/>
                <w:sz w:val="22"/>
                <w:szCs w:val="22"/>
                <w:lang w:val="lt-LT"/>
              </w:rPr>
              <w:t xml:space="preserve"> </w:t>
            </w:r>
            <w:proofErr w:type="spellStart"/>
            <w:r w:rsidRPr="00D06738">
              <w:rPr>
                <w:iCs/>
                <w:sz w:val="22"/>
                <w:szCs w:val="22"/>
                <w:lang w:val="lt-LT"/>
              </w:rPr>
              <w:t>the</w:t>
            </w:r>
            <w:proofErr w:type="spellEnd"/>
            <w:r w:rsidRPr="00D06738">
              <w:rPr>
                <w:i/>
                <w:iCs/>
                <w:sz w:val="22"/>
                <w:szCs w:val="22"/>
                <w:lang w:val="lt-LT"/>
              </w:rPr>
              <w:t xml:space="preserve"> </w:t>
            </w:r>
            <w:proofErr w:type="spellStart"/>
            <w:r w:rsidRPr="00D06738">
              <w:rPr>
                <w:iCs/>
                <w:sz w:val="22"/>
                <w:szCs w:val="22"/>
                <w:lang w:val="lt-LT"/>
              </w:rPr>
              <w:t>Constitution</w:t>
            </w:r>
            <w:proofErr w:type="spellEnd"/>
            <w:r w:rsidRPr="00D06738">
              <w:rPr>
                <w:iCs/>
                <w:sz w:val="22"/>
                <w:szCs w:val="22"/>
                <w:lang w:val="lt-LT"/>
              </w:rPr>
              <w:t xml:space="preserve">, </w:t>
            </w:r>
            <w:r w:rsidRPr="00D06738">
              <w:rPr>
                <w:i/>
                <w:iCs/>
                <w:sz w:val="22"/>
                <w:szCs w:val="22"/>
                <w:lang w:val="lt-LT"/>
              </w:rPr>
              <w:t xml:space="preserve">Lithuanian </w:t>
            </w:r>
            <w:proofErr w:type="spellStart"/>
            <w:r w:rsidRPr="00D06738">
              <w:rPr>
                <w:i/>
                <w:iCs/>
                <w:sz w:val="22"/>
                <w:szCs w:val="22"/>
                <w:lang w:val="lt-LT"/>
              </w:rPr>
              <w:t>Constitutionalism</w:t>
            </w:r>
            <w:proofErr w:type="spellEnd"/>
            <w:r w:rsidRPr="00D06738">
              <w:rPr>
                <w:i/>
                <w:iCs/>
                <w:sz w:val="22"/>
                <w:szCs w:val="22"/>
                <w:lang w:val="lt-LT"/>
              </w:rPr>
              <w:t xml:space="preserve">.  </w:t>
            </w:r>
            <w:proofErr w:type="spellStart"/>
            <w:r w:rsidRPr="00D06738">
              <w:rPr>
                <w:i/>
                <w:iCs/>
                <w:sz w:val="22"/>
                <w:szCs w:val="22"/>
                <w:lang w:val="lt-LT"/>
              </w:rPr>
              <w:t>The</w:t>
            </w:r>
            <w:proofErr w:type="spellEnd"/>
            <w:r w:rsidRPr="00D06738">
              <w:rPr>
                <w:i/>
                <w:iCs/>
                <w:sz w:val="22"/>
                <w:szCs w:val="22"/>
                <w:lang w:val="lt-LT"/>
              </w:rPr>
              <w:t xml:space="preserve"> </w:t>
            </w:r>
            <w:proofErr w:type="spellStart"/>
            <w:r w:rsidRPr="00D06738">
              <w:rPr>
                <w:i/>
                <w:iCs/>
                <w:sz w:val="22"/>
                <w:szCs w:val="22"/>
                <w:lang w:val="lt-LT"/>
              </w:rPr>
              <w:t>Past</w:t>
            </w:r>
            <w:proofErr w:type="spellEnd"/>
            <w:r w:rsidRPr="00D06738">
              <w:rPr>
                <w:i/>
                <w:iCs/>
                <w:sz w:val="22"/>
                <w:szCs w:val="22"/>
                <w:lang w:val="lt-LT"/>
              </w:rPr>
              <w:t xml:space="preserve"> </w:t>
            </w:r>
            <w:proofErr w:type="spellStart"/>
            <w:r w:rsidRPr="00D06738">
              <w:rPr>
                <w:i/>
                <w:iCs/>
                <w:sz w:val="22"/>
                <w:szCs w:val="22"/>
                <w:lang w:val="lt-LT"/>
              </w:rPr>
              <w:t>and</w:t>
            </w:r>
            <w:proofErr w:type="spellEnd"/>
            <w:r w:rsidRPr="00D06738">
              <w:rPr>
                <w:iCs/>
                <w:sz w:val="22"/>
                <w:szCs w:val="22"/>
                <w:lang w:val="lt-LT"/>
              </w:rPr>
              <w:t xml:space="preserve"> </w:t>
            </w:r>
            <w:proofErr w:type="spellStart"/>
            <w:r w:rsidRPr="00D06738">
              <w:rPr>
                <w:i/>
                <w:iCs/>
                <w:sz w:val="22"/>
                <w:szCs w:val="22"/>
                <w:lang w:val="lt-LT"/>
              </w:rPr>
              <w:t>the</w:t>
            </w:r>
            <w:proofErr w:type="spellEnd"/>
            <w:r w:rsidRPr="00D06738">
              <w:rPr>
                <w:i/>
                <w:iCs/>
                <w:sz w:val="22"/>
                <w:szCs w:val="22"/>
                <w:lang w:val="lt-LT"/>
              </w:rPr>
              <w:t xml:space="preserve"> </w:t>
            </w:r>
            <w:proofErr w:type="spellStart"/>
            <w:r w:rsidRPr="00D06738">
              <w:rPr>
                <w:i/>
                <w:iCs/>
                <w:sz w:val="22"/>
                <w:szCs w:val="22"/>
                <w:lang w:val="lt-LT"/>
              </w:rPr>
              <w:t>Present</w:t>
            </w:r>
            <w:proofErr w:type="spellEnd"/>
            <w:r w:rsidRPr="00D06738">
              <w:rPr>
                <w:iCs/>
                <w:sz w:val="22"/>
                <w:szCs w:val="22"/>
                <w:lang w:val="lt-LT"/>
              </w:rPr>
              <w:t>, Vilnius, 2017,  p. 14-40.</w:t>
            </w:r>
          </w:p>
          <w:p w:rsidR="00D06738" w:rsidRPr="00D06738" w:rsidRDefault="00D06738" w:rsidP="00D06738">
            <w:pPr>
              <w:jc w:val="both"/>
              <w:rPr>
                <w:i/>
                <w:sz w:val="22"/>
                <w:szCs w:val="22"/>
                <w:lang w:val="lt-LT"/>
              </w:rPr>
            </w:pPr>
            <w:r w:rsidRPr="00D06738">
              <w:rPr>
                <w:iCs/>
                <w:sz w:val="22"/>
                <w:szCs w:val="22"/>
                <w:lang w:val="lt-LT"/>
              </w:rPr>
              <w:t>6. Pirmojo Lietuvos Statuto Slucko nuorašas.  Vilnius, 2020. – 642 p.</w:t>
            </w:r>
          </w:p>
          <w:p w:rsidR="007804DE" w:rsidRPr="00D06738" w:rsidRDefault="007804DE" w:rsidP="005C5A21">
            <w:pPr>
              <w:jc w:val="both"/>
              <w:rPr>
                <w:sz w:val="22"/>
                <w:szCs w:val="22"/>
                <w:lang w:val="lt-LT"/>
              </w:rPr>
            </w:pPr>
          </w:p>
        </w:tc>
      </w:tr>
      <w:bookmarkEnd w:id="0"/>
      <w:tr w:rsidR="00A965CE" w:rsidRPr="00D06738" w:rsidTr="00D06738">
        <w:tc>
          <w:tcPr>
            <w:tcW w:w="9286" w:type="dxa"/>
            <w:gridSpan w:val="3"/>
          </w:tcPr>
          <w:p w:rsidR="009404F1" w:rsidRPr="00D06738" w:rsidRDefault="009404F1" w:rsidP="009404F1">
            <w:pPr>
              <w:pStyle w:val="TableParagraph"/>
              <w:ind w:right="163"/>
            </w:pPr>
            <w:proofErr w:type="spellStart"/>
            <w:r w:rsidRPr="00D06738">
              <w:t>Approved</w:t>
            </w:r>
            <w:proofErr w:type="spellEnd"/>
            <w:r w:rsidRPr="00D06738">
              <w:t xml:space="preserve"> </w:t>
            </w:r>
            <w:proofErr w:type="spellStart"/>
            <w:r w:rsidRPr="00D06738">
              <w:t>by</w:t>
            </w:r>
            <w:proofErr w:type="spellEnd"/>
            <w:r w:rsidRPr="00D06738">
              <w:t xml:space="preserve"> </w:t>
            </w:r>
            <w:proofErr w:type="spellStart"/>
            <w:r w:rsidRPr="00D06738">
              <w:t>the</w:t>
            </w:r>
            <w:proofErr w:type="spellEnd"/>
            <w:r w:rsidRPr="00D06738">
              <w:t xml:space="preserve"> </w:t>
            </w:r>
            <w:proofErr w:type="spellStart"/>
            <w:r w:rsidRPr="00D06738">
              <w:t>Doctoral</w:t>
            </w:r>
            <w:proofErr w:type="spellEnd"/>
            <w:r w:rsidRPr="00D06738">
              <w:t xml:space="preserve"> </w:t>
            </w:r>
            <w:proofErr w:type="spellStart"/>
            <w:r w:rsidRPr="00D06738">
              <w:t>Committee</w:t>
            </w:r>
            <w:proofErr w:type="spellEnd"/>
            <w:r w:rsidRPr="00D06738">
              <w:t xml:space="preserve"> </w:t>
            </w:r>
            <w:proofErr w:type="spellStart"/>
            <w:r w:rsidRPr="00D06738">
              <w:t>of</w:t>
            </w:r>
            <w:proofErr w:type="spellEnd"/>
            <w:r w:rsidRPr="00D06738">
              <w:t xml:space="preserve"> </w:t>
            </w:r>
            <w:proofErr w:type="spellStart"/>
            <w:r w:rsidRPr="00D06738">
              <w:t>History</w:t>
            </w:r>
            <w:proofErr w:type="spellEnd"/>
            <w:r w:rsidRPr="00D06738">
              <w:t xml:space="preserve"> </w:t>
            </w:r>
            <w:proofErr w:type="spellStart"/>
            <w:r w:rsidRPr="00D06738">
              <w:t>and</w:t>
            </w:r>
            <w:proofErr w:type="spellEnd"/>
            <w:r w:rsidRPr="00D06738">
              <w:t xml:space="preserve"> </w:t>
            </w:r>
            <w:proofErr w:type="spellStart"/>
            <w:r w:rsidRPr="00D06738">
              <w:t>Archaeology</w:t>
            </w:r>
            <w:proofErr w:type="spellEnd"/>
            <w:r w:rsidRPr="00D06738">
              <w:t xml:space="preserve"> </w:t>
            </w:r>
          </w:p>
          <w:p w:rsidR="00A965CE" w:rsidRPr="00D06738" w:rsidRDefault="009404F1" w:rsidP="00C31F08">
            <w:pPr>
              <w:pStyle w:val="TableParagraph"/>
              <w:tabs>
                <w:tab w:val="left" w:pos="7546"/>
                <w:tab w:val="left" w:pos="8094"/>
              </w:tabs>
              <w:spacing w:before="7" w:line="247" w:lineRule="auto"/>
              <w:ind w:right="142"/>
            </w:pPr>
            <w:r w:rsidRPr="00D06738">
              <w:t xml:space="preserve">28 </w:t>
            </w:r>
            <w:proofErr w:type="spellStart"/>
            <w:r w:rsidRPr="00D06738">
              <w:t>September</w:t>
            </w:r>
            <w:proofErr w:type="spellEnd"/>
            <w:r w:rsidRPr="00D06738">
              <w:t xml:space="preserve"> 2021, </w:t>
            </w:r>
            <w:proofErr w:type="spellStart"/>
            <w:r w:rsidRPr="00D06738">
              <w:t>No</w:t>
            </w:r>
            <w:proofErr w:type="spellEnd"/>
            <w:r w:rsidRPr="00D06738">
              <w:t xml:space="preserve"> 170000-KT-47.</w:t>
            </w:r>
          </w:p>
        </w:tc>
      </w:tr>
      <w:tr w:rsidR="00A965CE" w:rsidRPr="00D06738" w:rsidTr="00D06738">
        <w:tc>
          <w:tcPr>
            <w:tcW w:w="9286" w:type="dxa"/>
            <w:gridSpan w:val="3"/>
          </w:tcPr>
          <w:p w:rsidR="00A965CE" w:rsidRPr="00D06738" w:rsidRDefault="00B72167" w:rsidP="00A965CE">
            <w:pPr>
              <w:spacing w:before="120" w:after="120"/>
              <w:rPr>
                <w:sz w:val="22"/>
                <w:szCs w:val="22"/>
                <w:lang w:val="lt-LT"/>
              </w:rPr>
            </w:pPr>
            <w:r w:rsidRPr="00D06738">
              <w:rPr>
                <w:sz w:val="22"/>
                <w:szCs w:val="22"/>
              </w:rPr>
              <w:t xml:space="preserve">Chair of the Doctoral Committee Prof. </w:t>
            </w:r>
            <w:proofErr w:type="spellStart"/>
            <w:r w:rsidRPr="00D06738">
              <w:rPr>
                <w:sz w:val="22"/>
                <w:szCs w:val="22"/>
              </w:rPr>
              <w:t>habil</w:t>
            </w:r>
            <w:proofErr w:type="spellEnd"/>
            <w:r w:rsidRPr="00D06738">
              <w:rPr>
                <w:sz w:val="22"/>
                <w:szCs w:val="22"/>
              </w:rPr>
              <w:t>.</w:t>
            </w:r>
            <w:r w:rsidR="00862EAA" w:rsidRPr="00D06738">
              <w:rPr>
                <w:sz w:val="22"/>
                <w:szCs w:val="22"/>
              </w:rPr>
              <w:t xml:space="preserve"> </w:t>
            </w:r>
            <w:r w:rsidRPr="00D06738">
              <w:rPr>
                <w:sz w:val="22"/>
                <w:szCs w:val="22"/>
              </w:rPr>
              <w:t xml:space="preserve">dr. Tamara </w:t>
            </w:r>
            <w:proofErr w:type="spellStart"/>
            <w:r w:rsidRPr="00D06738">
              <w:rPr>
                <w:sz w:val="22"/>
                <w:szCs w:val="22"/>
              </w:rPr>
              <w:t>Bairašauskaitė</w:t>
            </w:r>
            <w:proofErr w:type="spellEnd"/>
            <w:r w:rsidRPr="00D06738">
              <w:rPr>
                <w:sz w:val="22"/>
                <w:szCs w:val="22"/>
              </w:rPr>
              <w:t xml:space="preserve"> </w:t>
            </w:r>
          </w:p>
        </w:tc>
      </w:tr>
    </w:tbl>
    <w:p w:rsidR="002D3C12" w:rsidRPr="00D06738" w:rsidRDefault="002D3C12" w:rsidP="00600C1B">
      <w:pPr>
        <w:rPr>
          <w:sz w:val="22"/>
          <w:szCs w:val="22"/>
          <w:lang w:val="lt-LT"/>
        </w:rPr>
      </w:pPr>
    </w:p>
    <w:sectPr w:rsidR="002D3C12" w:rsidRPr="00D06738">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3A5"/>
    <w:multiLevelType w:val="hybridMultilevel"/>
    <w:tmpl w:val="50C877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57677"/>
    <w:multiLevelType w:val="hybridMultilevel"/>
    <w:tmpl w:val="C04CAAE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F6CFD"/>
    <w:rsid w:val="001218B6"/>
    <w:rsid w:val="001727DA"/>
    <w:rsid w:val="00216D07"/>
    <w:rsid w:val="00252CBA"/>
    <w:rsid w:val="002D3C12"/>
    <w:rsid w:val="002D7AD1"/>
    <w:rsid w:val="003171A5"/>
    <w:rsid w:val="0032414F"/>
    <w:rsid w:val="0035258E"/>
    <w:rsid w:val="00354267"/>
    <w:rsid w:val="004B2BA4"/>
    <w:rsid w:val="005A243D"/>
    <w:rsid w:val="005A3568"/>
    <w:rsid w:val="00600C1B"/>
    <w:rsid w:val="00654E78"/>
    <w:rsid w:val="006C3DC5"/>
    <w:rsid w:val="00745232"/>
    <w:rsid w:val="007804DE"/>
    <w:rsid w:val="007E5C78"/>
    <w:rsid w:val="00862EAA"/>
    <w:rsid w:val="00875171"/>
    <w:rsid w:val="00883F45"/>
    <w:rsid w:val="00893B76"/>
    <w:rsid w:val="009404F1"/>
    <w:rsid w:val="009708B7"/>
    <w:rsid w:val="009844CC"/>
    <w:rsid w:val="00A965CE"/>
    <w:rsid w:val="00B65DF1"/>
    <w:rsid w:val="00B72167"/>
    <w:rsid w:val="00BC427C"/>
    <w:rsid w:val="00C309D5"/>
    <w:rsid w:val="00C31F08"/>
    <w:rsid w:val="00C743B6"/>
    <w:rsid w:val="00CA6702"/>
    <w:rsid w:val="00D00EBD"/>
    <w:rsid w:val="00D06738"/>
    <w:rsid w:val="00D242DF"/>
    <w:rsid w:val="00D70EFD"/>
    <w:rsid w:val="00D83738"/>
    <w:rsid w:val="00ED2DF9"/>
    <w:rsid w:val="00F00A7D"/>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A4396E"/>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styleId="Emphasis">
    <w:name w:val="Emphasis"/>
    <w:qFormat/>
    <w:rsid w:val="00D06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2723</Words>
  <Characters>1553</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13</cp:revision>
  <cp:lastPrinted>2012-04-27T08:36:00Z</cp:lastPrinted>
  <dcterms:created xsi:type="dcterms:W3CDTF">2022-05-09T10:22:00Z</dcterms:created>
  <dcterms:modified xsi:type="dcterms:W3CDTF">2022-09-02T09:00:00Z</dcterms:modified>
</cp:coreProperties>
</file>