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6A37" w14:textId="613CFE27" w:rsidR="00431AB7" w:rsidRDefault="0088205B">
      <w:pPr>
        <w:rPr>
          <w:lang w:val="en-US"/>
        </w:rPr>
      </w:pPr>
      <w:r>
        <w:rPr>
          <w:lang w:val="en-US"/>
        </w:rPr>
        <w:t>Dear Erasmus+ participant,</w:t>
      </w:r>
    </w:p>
    <w:p w14:paraId="3A61742D" w14:textId="74B46BDE" w:rsidR="001A16BF" w:rsidRDefault="00D016E3">
      <w:pPr>
        <w:rPr>
          <w:lang w:val="en-US"/>
        </w:rPr>
      </w:pPr>
      <w:r>
        <w:rPr>
          <w:lang w:val="en-US"/>
        </w:rPr>
        <w:t>We are very</w:t>
      </w:r>
      <w:r w:rsidR="001A16BF">
        <w:rPr>
          <w:lang w:val="en-US"/>
        </w:rPr>
        <w:t xml:space="preserve"> excited for you to embark on the powerful, life-changing experience that Erasmus+ represents for almost 1 million students, trainers or volunteers every year.</w:t>
      </w:r>
    </w:p>
    <w:p w14:paraId="3986A321" w14:textId="4CA88104" w:rsidR="00B4313A" w:rsidRDefault="005338A7" w:rsidP="3ABCB01F">
      <w:pPr>
        <w:shd w:val="clear" w:color="auto" w:fill="FFFFFF" w:themeFill="background1"/>
        <w:rPr>
          <w:lang w:val="en-US"/>
        </w:rPr>
      </w:pPr>
      <w:r w:rsidRPr="3ABCB01F">
        <w:rPr>
          <w:lang w:val="en-US"/>
        </w:rPr>
        <w:t>Existing data</w:t>
      </w:r>
      <w:r w:rsidR="00B4313A" w:rsidRPr="3ABCB01F">
        <w:rPr>
          <w:lang w:val="en-US"/>
        </w:rPr>
        <w:t xml:space="preserve"> show that </w:t>
      </w:r>
      <w:r w:rsidR="00A3631C" w:rsidRPr="3ABCB01F">
        <w:rPr>
          <w:lang w:val="en-US"/>
        </w:rPr>
        <w:t>a whopping 75%</w:t>
      </w:r>
      <w:r w:rsidR="001A16BF" w:rsidRPr="3ABCB01F">
        <w:rPr>
          <w:lang w:val="en-US"/>
        </w:rPr>
        <w:t xml:space="preserve"> of </w:t>
      </w:r>
      <w:r w:rsidR="00B4313A" w:rsidRPr="3ABCB01F">
        <w:rPr>
          <w:lang w:val="en-US"/>
        </w:rPr>
        <w:t xml:space="preserve">Erasmus+ </w:t>
      </w:r>
      <w:r w:rsidR="002B7493" w:rsidRPr="3ABCB01F">
        <w:rPr>
          <w:lang w:val="en-US"/>
        </w:rPr>
        <w:t>participants</w:t>
      </w:r>
      <w:r w:rsidR="001A16BF" w:rsidRPr="3ABCB01F">
        <w:rPr>
          <w:lang w:val="en-US"/>
        </w:rPr>
        <w:t xml:space="preserve"> </w:t>
      </w:r>
      <w:r w:rsidR="35C3FC2F" w:rsidRPr="3ABCB01F">
        <w:rPr>
          <w:lang w:val="en-US"/>
        </w:rPr>
        <w:t>take</w:t>
      </w:r>
      <w:r w:rsidR="00B4313A" w:rsidRPr="3ABCB01F">
        <w:rPr>
          <w:lang w:val="en-US"/>
        </w:rPr>
        <w:t xml:space="preserve"> the plane to travel to and from their exchange destination</w:t>
      </w:r>
      <w:r w:rsidR="00A3631C" w:rsidRPr="3ABCB01F">
        <w:rPr>
          <w:lang w:val="en-US"/>
        </w:rPr>
        <w:t>s</w:t>
      </w:r>
      <w:r w:rsidR="00B4313A" w:rsidRPr="3ABCB01F">
        <w:rPr>
          <w:lang w:val="en-US"/>
        </w:rPr>
        <w:t>. This contributes significantly to the European Union’s already substantial CO2 emissions.</w:t>
      </w:r>
    </w:p>
    <w:p w14:paraId="5884B41E" w14:textId="154D575E" w:rsidR="00B4313A" w:rsidRDefault="00F11109" w:rsidP="00B4313A">
      <w:pPr>
        <w:shd w:val="clear" w:color="auto" w:fill="FFFFFF"/>
        <w:rPr>
          <w:lang w:val="en-US"/>
        </w:rPr>
      </w:pPr>
      <w:r>
        <w:rPr>
          <w:lang w:val="en-US"/>
        </w:rPr>
        <w:t xml:space="preserve">Do you want to make a difference? </w:t>
      </w:r>
      <w:r w:rsidR="005338A7" w:rsidRPr="00B4313A">
        <w:rPr>
          <w:lang w:val="en-US"/>
        </w:rPr>
        <w:t xml:space="preserve">The good news is that there is plenty </w:t>
      </w:r>
      <w:r w:rsidR="005338A7">
        <w:rPr>
          <w:lang w:val="en-US"/>
        </w:rPr>
        <w:t>you can do</w:t>
      </w:r>
      <w:r w:rsidR="00B4313A" w:rsidRPr="00B4313A">
        <w:rPr>
          <w:lang w:val="en-US"/>
        </w:rPr>
        <w:t xml:space="preserve"> </w:t>
      </w:r>
      <w:r w:rsidR="00AD1882">
        <w:rPr>
          <w:lang w:val="en-US"/>
        </w:rPr>
        <w:t>to</w:t>
      </w:r>
      <w:r w:rsidR="00AD1882" w:rsidRPr="00B4313A">
        <w:rPr>
          <w:lang w:val="en-US"/>
        </w:rPr>
        <w:t xml:space="preserve"> </w:t>
      </w:r>
      <w:r w:rsidR="00B4313A" w:rsidRPr="00B4313A">
        <w:rPr>
          <w:lang w:val="en-US"/>
        </w:rPr>
        <w:t>improv</w:t>
      </w:r>
      <w:r w:rsidR="00AD1882">
        <w:rPr>
          <w:lang w:val="en-US"/>
        </w:rPr>
        <w:t>e</w:t>
      </w:r>
      <w:r w:rsidR="00B4313A" w:rsidRPr="00B4313A">
        <w:rPr>
          <w:lang w:val="en-US"/>
        </w:rPr>
        <w:t xml:space="preserve"> the green credentials of your </w:t>
      </w:r>
      <w:r w:rsidR="00B4313A">
        <w:rPr>
          <w:lang w:val="en-US"/>
        </w:rPr>
        <w:t>Erasmus+ experience</w:t>
      </w:r>
      <w:r w:rsidR="005338A7">
        <w:rPr>
          <w:lang w:val="en-US"/>
        </w:rPr>
        <w:t>. And here is one.</w:t>
      </w:r>
      <w:r w:rsidR="00B4313A" w:rsidRPr="00B4313A">
        <w:rPr>
          <w:lang w:val="en-US"/>
        </w:rPr>
        <w:t xml:space="preserve"> </w:t>
      </w:r>
    </w:p>
    <w:p w14:paraId="621A2F25" w14:textId="531D68D2" w:rsidR="00FF7E9E" w:rsidRDefault="00B4313A" w:rsidP="00B4313A">
      <w:pPr>
        <w:shd w:val="clear" w:color="auto" w:fill="FFFFFF"/>
        <w:rPr>
          <w:lang w:val="en-US"/>
        </w:rPr>
      </w:pPr>
      <w:r w:rsidRPr="3EC07638">
        <w:rPr>
          <w:b/>
          <w:bCs/>
          <w:lang w:val="en-US"/>
        </w:rPr>
        <w:t>Your university</w:t>
      </w:r>
      <w:r w:rsidR="00EF7B78" w:rsidRPr="3EC07638">
        <w:rPr>
          <w:b/>
          <w:bCs/>
          <w:lang w:val="en-US"/>
        </w:rPr>
        <w:t xml:space="preserve">, as a member of </w:t>
      </w:r>
      <w:r w:rsidR="00F11109" w:rsidRPr="3EC07638">
        <w:rPr>
          <w:b/>
          <w:bCs/>
          <w:lang w:val="en-US"/>
        </w:rPr>
        <w:t xml:space="preserve">the </w:t>
      </w:r>
      <w:hyperlink r:id="rId8">
        <w:r w:rsidRPr="3EC07638">
          <w:rPr>
            <w:rStyle w:val="Hyperlink"/>
            <w:b/>
            <w:bCs/>
            <w:lang w:val="en-US"/>
          </w:rPr>
          <w:t>Coimbra Group</w:t>
        </w:r>
      </w:hyperlink>
      <w:r w:rsidR="00EF7B78" w:rsidRPr="3EC07638">
        <w:rPr>
          <w:b/>
          <w:bCs/>
          <w:lang w:val="en-US"/>
        </w:rPr>
        <w:t>,</w:t>
      </w:r>
      <w:r w:rsidRPr="3EC07638">
        <w:rPr>
          <w:b/>
          <w:bCs/>
          <w:lang w:val="en-US"/>
        </w:rPr>
        <w:t xml:space="preserve"> has </w:t>
      </w:r>
      <w:r w:rsidR="00D016E3" w:rsidRPr="3EC07638">
        <w:rPr>
          <w:b/>
          <w:bCs/>
          <w:lang w:val="en-US"/>
        </w:rPr>
        <w:t xml:space="preserve">joined </w:t>
      </w:r>
      <w:r w:rsidRPr="3EC07638">
        <w:rPr>
          <w:b/>
          <w:bCs/>
          <w:lang w:val="en-US"/>
        </w:rPr>
        <w:t>forces</w:t>
      </w:r>
      <w:r w:rsidR="00D016E3" w:rsidRPr="3EC07638">
        <w:rPr>
          <w:b/>
          <w:bCs/>
          <w:lang w:val="en-US"/>
        </w:rPr>
        <w:t xml:space="preserve"> with Eurail, the company behind the</w:t>
      </w:r>
      <w:r w:rsidR="00A3631C" w:rsidRPr="3EC07638">
        <w:rPr>
          <w:b/>
          <w:bCs/>
          <w:lang w:val="en-US"/>
        </w:rPr>
        <w:t xml:space="preserve"> iconic</w:t>
      </w:r>
      <w:r w:rsidR="00D016E3" w:rsidRPr="3EC07638">
        <w:rPr>
          <w:b/>
          <w:bCs/>
          <w:lang w:val="en-US"/>
        </w:rPr>
        <w:t xml:space="preserve"> </w:t>
      </w:r>
      <w:hyperlink r:id="rId9">
        <w:r w:rsidR="00D016E3" w:rsidRPr="3EC07638">
          <w:rPr>
            <w:rStyle w:val="Hyperlink"/>
            <w:b/>
            <w:bCs/>
            <w:lang w:val="en-US"/>
          </w:rPr>
          <w:t>Interrail Pass</w:t>
        </w:r>
      </w:hyperlink>
      <w:r w:rsidR="00A3631C" w:rsidRPr="3EC07638">
        <w:rPr>
          <w:b/>
          <w:bCs/>
          <w:lang w:val="en-US"/>
        </w:rPr>
        <w:t>,</w:t>
      </w:r>
      <w:r w:rsidR="00D016E3" w:rsidRPr="3EC07638">
        <w:rPr>
          <w:b/>
          <w:bCs/>
          <w:lang w:val="en-US"/>
        </w:rPr>
        <w:t xml:space="preserve"> to offer you a unique </w:t>
      </w:r>
      <w:r w:rsidR="003D7DE4" w:rsidRPr="3EC07638">
        <w:rPr>
          <w:b/>
          <w:bCs/>
          <w:lang w:val="en-US"/>
        </w:rPr>
        <w:t>opportunity</w:t>
      </w:r>
      <w:r w:rsidR="00D016E3" w:rsidRPr="3EC07638">
        <w:rPr>
          <w:b/>
          <w:bCs/>
          <w:lang w:val="en-US"/>
        </w:rPr>
        <w:t xml:space="preserve"> </w:t>
      </w:r>
      <w:r w:rsidR="00A3631C" w:rsidRPr="3EC07638">
        <w:rPr>
          <w:b/>
          <w:bCs/>
          <w:lang w:val="en-US"/>
        </w:rPr>
        <w:t xml:space="preserve">to purchase </w:t>
      </w:r>
      <w:r w:rsidR="000C2F9C" w:rsidRPr="3EC07638">
        <w:rPr>
          <w:b/>
          <w:bCs/>
          <w:lang w:val="en-US"/>
        </w:rPr>
        <w:t xml:space="preserve">a </w:t>
      </w:r>
      <w:r w:rsidR="004F2428" w:rsidRPr="3EC07638">
        <w:rPr>
          <w:b/>
          <w:bCs/>
          <w:lang w:val="en-US"/>
        </w:rPr>
        <w:t>10 days</w:t>
      </w:r>
      <w:r w:rsidR="00B25C67" w:rsidRPr="3EC07638">
        <w:rPr>
          <w:b/>
          <w:bCs/>
          <w:lang w:val="en-US"/>
        </w:rPr>
        <w:t xml:space="preserve"> within 2 months</w:t>
      </w:r>
      <w:r w:rsidR="00D016E3" w:rsidRPr="3EC07638">
        <w:rPr>
          <w:b/>
          <w:bCs/>
          <w:lang w:val="en-US"/>
        </w:rPr>
        <w:t xml:space="preserve"> Interrail </w:t>
      </w:r>
      <w:r w:rsidR="007B2EBD" w:rsidRPr="3EC07638">
        <w:rPr>
          <w:b/>
          <w:bCs/>
          <w:lang w:val="en-US"/>
        </w:rPr>
        <w:t xml:space="preserve">mobile </w:t>
      </w:r>
      <w:r w:rsidR="00B25C67" w:rsidRPr="3EC07638">
        <w:rPr>
          <w:b/>
          <w:bCs/>
          <w:lang w:val="en-US"/>
        </w:rPr>
        <w:t xml:space="preserve">Global </w:t>
      </w:r>
      <w:r w:rsidR="00D016E3" w:rsidRPr="3EC07638">
        <w:rPr>
          <w:b/>
          <w:bCs/>
          <w:lang w:val="en-US"/>
        </w:rPr>
        <w:t>Pass</w:t>
      </w:r>
      <w:r w:rsidR="00A3631C" w:rsidRPr="3EC07638">
        <w:rPr>
          <w:b/>
          <w:bCs/>
          <w:lang w:val="en-US"/>
        </w:rPr>
        <w:t xml:space="preserve"> with a </w:t>
      </w:r>
      <w:r w:rsidR="00B25C67" w:rsidRPr="3EC07638">
        <w:rPr>
          <w:b/>
          <w:bCs/>
          <w:lang w:val="en-US"/>
        </w:rPr>
        <w:t>20%</w:t>
      </w:r>
      <w:r w:rsidR="00A3631C" w:rsidRPr="3EC07638">
        <w:rPr>
          <w:b/>
          <w:bCs/>
          <w:lang w:val="en-US"/>
        </w:rPr>
        <w:t xml:space="preserve"> discount</w:t>
      </w:r>
      <w:r w:rsidR="00A3631C" w:rsidRPr="3EC07638">
        <w:rPr>
          <w:lang w:val="en-US"/>
        </w:rPr>
        <w:t xml:space="preserve"> – and use it to travel by train to and/or from your host university, as well as use it to explore the riches that your host Country (and beyond!) ha</w:t>
      </w:r>
      <w:r w:rsidR="00463C43" w:rsidRPr="3EC07638">
        <w:rPr>
          <w:lang w:val="en-US"/>
        </w:rPr>
        <w:t>s</w:t>
      </w:r>
      <w:r w:rsidR="00A3631C" w:rsidRPr="3EC07638">
        <w:rPr>
          <w:lang w:val="en-US"/>
        </w:rPr>
        <w:t xml:space="preserve"> to offer.</w:t>
      </w:r>
      <w:r w:rsidR="00651EE3" w:rsidRPr="3EC07638">
        <w:rPr>
          <w:lang w:val="en-US"/>
        </w:rPr>
        <w:t xml:space="preserve"> </w:t>
      </w:r>
    </w:p>
    <w:p w14:paraId="219A464D" w14:textId="64BE1905" w:rsidR="7173E3A2" w:rsidRDefault="7173E3A2" w:rsidP="3ABCB01F">
      <w:pPr>
        <w:shd w:val="clear" w:color="auto" w:fill="FFFFFF" w:themeFill="background1"/>
        <w:rPr>
          <w:lang w:val="en-US"/>
        </w:rPr>
      </w:pPr>
      <w:r w:rsidRPr="3ABCB01F">
        <w:rPr>
          <w:lang w:val="en-US"/>
        </w:rPr>
        <w:t>The Interrail Pass is the easiest solution to travel by train</w:t>
      </w:r>
      <w:r w:rsidRPr="3ABCB01F">
        <w:rPr>
          <w:color w:val="0070C0"/>
          <w:lang w:val="en-US"/>
        </w:rPr>
        <w:t xml:space="preserve"> </w:t>
      </w:r>
      <w:hyperlink r:id="rId10">
        <w:r w:rsidRPr="3ABCB01F">
          <w:rPr>
            <w:rStyle w:val="Hyperlink"/>
            <w:color w:val="0070C0"/>
            <w:lang w:val="en-US"/>
          </w:rPr>
          <w:t>across and within different European countries</w:t>
        </w:r>
      </w:hyperlink>
      <w:r w:rsidRPr="3ABCB01F">
        <w:rPr>
          <w:lang w:val="en-US"/>
        </w:rPr>
        <w:t xml:space="preserve">. With one ticket on your smartphone, you can travel both </w:t>
      </w:r>
      <w:r w:rsidR="23CFCE2E" w:rsidRPr="3ABCB01F">
        <w:rPr>
          <w:lang w:val="en-US"/>
        </w:rPr>
        <w:t xml:space="preserve">on national and international trains (including </w:t>
      </w:r>
      <w:hyperlink r:id="rId11">
        <w:r w:rsidR="23CFCE2E" w:rsidRPr="3ABCB01F">
          <w:rPr>
            <w:rStyle w:val="Hyperlink"/>
            <w:color w:val="0070C0"/>
            <w:lang w:val="en-US"/>
          </w:rPr>
          <w:t>night trains</w:t>
        </w:r>
      </w:hyperlink>
      <w:r w:rsidR="23CFCE2E" w:rsidRPr="3ABCB01F">
        <w:rPr>
          <w:lang w:val="en-US"/>
        </w:rPr>
        <w:t xml:space="preserve">). You have great flexibility as you can </w:t>
      </w:r>
      <w:r w:rsidR="4321B910" w:rsidRPr="3ABCB01F">
        <w:rPr>
          <w:lang w:val="en-US"/>
        </w:rPr>
        <w:t xml:space="preserve">decide to start travelling anytime within 11 months from the purchase. </w:t>
      </w:r>
      <w:r w:rsidR="75244469" w:rsidRPr="3ABCB01F">
        <w:rPr>
          <w:lang w:val="en-US"/>
        </w:rPr>
        <w:t xml:space="preserve">From the date of your first travel day, you will have exactly two months to use all your travel days. Whether these are used to reach your host university, to explore your host country </w:t>
      </w:r>
      <w:r w:rsidR="18FE0076" w:rsidRPr="3ABCB01F">
        <w:rPr>
          <w:lang w:val="en-US"/>
        </w:rPr>
        <w:t xml:space="preserve">while on your exchange or to get back home at the end of your trip, it's up to you! </w:t>
      </w:r>
      <w:r w:rsidR="6E6850EA" w:rsidRPr="3ABCB01F">
        <w:rPr>
          <w:lang w:val="en-US"/>
        </w:rPr>
        <w:t xml:space="preserve">You can take as many trains as you like on each of the 10 travel days, so there's no limit on how much you can </w:t>
      </w:r>
      <w:hyperlink r:id="rId12">
        <w:r w:rsidR="6E6850EA" w:rsidRPr="3ABCB01F">
          <w:rPr>
            <w:rStyle w:val="Hyperlink"/>
            <w:color w:val="0070C0"/>
            <w:lang w:val="en-US"/>
          </w:rPr>
          <w:t>explore</w:t>
        </w:r>
      </w:hyperlink>
      <w:r w:rsidR="6E6850EA" w:rsidRPr="3ABCB01F">
        <w:rPr>
          <w:lang w:val="en-US"/>
        </w:rPr>
        <w:t xml:space="preserve">! </w:t>
      </w:r>
    </w:p>
    <w:p w14:paraId="0209B5A3" w14:textId="606E12E3" w:rsidR="0B83FA9E" w:rsidRDefault="0B83FA9E" w:rsidP="3ABCB01F">
      <w:pPr>
        <w:shd w:val="clear" w:color="auto" w:fill="FFFFFF" w:themeFill="background1"/>
        <w:rPr>
          <w:lang w:val="en-US"/>
        </w:rPr>
      </w:pPr>
      <w:r w:rsidRPr="3ABCB01F">
        <w:rPr>
          <w:lang w:val="en-US"/>
        </w:rPr>
        <w:t xml:space="preserve">We are aware that your mobility will </w:t>
      </w:r>
      <w:r w:rsidR="2FE1E8CC" w:rsidRPr="3ABCB01F">
        <w:rPr>
          <w:lang w:val="en-US"/>
        </w:rPr>
        <w:t xml:space="preserve">probably </w:t>
      </w:r>
      <w:r w:rsidRPr="3ABCB01F">
        <w:rPr>
          <w:lang w:val="en-US"/>
        </w:rPr>
        <w:t xml:space="preserve">last longer than </w:t>
      </w:r>
      <w:r w:rsidR="508F7633" w:rsidRPr="3ABCB01F">
        <w:rPr>
          <w:lang w:val="en-US"/>
        </w:rPr>
        <w:t>two</w:t>
      </w:r>
      <w:r w:rsidRPr="3ABCB01F">
        <w:rPr>
          <w:lang w:val="en-US"/>
        </w:rPr>
        <w:t xml:space="preserve"> months. That's why we also offer you the possibility of purchasing two Interrail Passes with a 20% discount. </w:t>
      </w:r>
      <w:r w:rsidR="6CB53270" w:rsidRPr="3ABCB01F">
        <w:rPr>
          <w:lang w:val="en-US"/>
        </w:rPr>
        <w:t xml:space="preserve">In this case, you can also claim a 10% discount code to purchase another interrail Pass for friends and family. With 2 Interrail Passes you can travel to your host country, </w:t>
      </w:r>
      <w:r w:rsidR="2EF71A00" w:rsidRPr="3ABCB01F">
        <w:rPr>
          <w:lang w:val="en-US"/>
        </w:rPr>
        <w:t xml:space="preserve">explore it and return home at the end of your mobility! </w:t>
      </w:r>
    </w:p>
    <w:p w14:paraId="55652F76" w14:textId="004B8DA5" w:rsidR="00F67D07" w:rsidRPr="004D5E13" w:rsidRDefault="004D5E13" w:rsidP="00B4313A">
      <w:pPr>
        <w:shd w:val="clear" w:color="auto" w:fill="FFFFFF"/>
        <w:rPr>
          <w:b/>
          <w:bCs/>
          <w:color w:val="70AD47" w:themeColor="accent6"/>
          <w:lang w:val="en-US"/>
        </w:rPr>
      </w:pPr>
      <w:r w:rsidRPr="004D5E13">
        <w:rPr>
          <w:b/>
          <w:bCs/>
          <w:color w:val="70AD47" w:themeColor="accent6"/>
          <w:lang w:val="en-US"/>
        </w:rPr>
        <w:t xml:space="preserve">What’s included in </w:t>
      </w:r>
      <w:r w:rsidR="008819F2">
        <w:rPr>
          <w:b/>
          <w:bCs/>
          <w:color w:val="70AD47" w:themeColor="accent6"/>
          <w:lang w:val="en-US"/>
        </w:rPr>
        <w:t>your</w:t>
      </w:r>
      <w:r w:rsidRPr="004D5E13">
        <w:rPr>
          <w:b/>
          <w:bCs/>
          <w:color w:val="70AD47" w:themeColor="accent6"/>
          <w:lang w:val="en-US"/>
        </w:rPr>
        <w:t xml:space="preserve"> Pass?</w:t>
      </w:r>
    </w:p>
    <w:p w14:paraId="5FA21C52" w14:textId="4A8EE5A0" w:rsidR="007B2EBD" w:rsidRPr="00783674" w:rsidRDefault="007B2EBD" w:rsidP="00783674">
      <w:pPr>
        <w:pStyle w:val="ListParagraph"/>
        <w:numPr>
          <w:ilvl w:val="0"/>
          <w:numId w:val="5"/>
        </w:numPr>
        <w:shd w:val="clear" w:color="auto" w:fill="FFFFFF"/>
        <w:spacing w:after="0" w:line="240" w:lineRule="auto"/>
        <w:textAlignment w:val="baseline"/>
        <w:rPr>
          <w:lang w:val="en-US"/>
        </w:rPr>
      </w:pPr>
      <w:r w:rsidRPr="0049246D">
        <w:rPr>
          <w:lang w:val="en-US"/>
        </w:rPr>
        <w:t>10 days of unlimited train travel</w:t>
      </w:r>
      <w:r w:rsidR="00783674">
        <w:rPr>
          <w:lang w:val="en-US"/>
        </w:rPr>
        <w:t xml:space="preserve">. </w:t>
      </w:r>
      <w:r w:rsidR="00783674" w:rsidRPr="0049246D">
        <w:rPr>
          <w:lang w:val="en-US"/>
        </w:rPr>
        <w:t>You can use your 10 travel days any time within 2 months of your start date. Spread them out or use them back-to-back – it’s up to you</w:t>
      </w:r>
      <w:r w:rsidR="003F4C0E">
        <w:rPr>
          <w:lang w:val="en-US"/>
        </w:rPr>
        <w:t>;</w:t>
      </w:r>
    </w:p>
    <w:p w14:paraId="5B15BB00" w14:textId="5C959465" w:rsidR="007B2EBD" w:rsidRPr="007B2EBD" w:rsidRDefault="007B2EBD" w:rsidP="3EC07638">
      <w:pPr>
        <w:pStyle w:val="ListParagraph"/>
        <w:numPr>
          <w:ilvl w:val="0"/>
          <w:numId w:val="5"/>
        </w:numPr>
        <w:shd w:val="clear" w:color="auto" w:fill="FFFFFF" w:themeFill="background1"/>
        <w:spacing w:after="0" w:line="240" w:lineRule="auto"/>
        <w:textAlignment w:val="baseline"/>
        <w:rPr>
          <w:lang w:val="en-US"/>
        </w:rPr>
      </w:pPr>
      <w:r w:rsidRPr="3ABCB01F">
        <w:rPr>
          <w:lang w:val="en-US"/>
        </w:rPr>
        <w:t>Travel on as many trains as you like</w:t>
      </w:r>
      <w:r w:rsidR="0E48EDFC" w:rsidRPr="3ABCB01F">
        <w:rPr>
          <w:lang w:val="en-US"/>
        </w:rPr>
        <w:t xml:space="preserve"> within and across </w:t>
      </w:r>
      <w:hyperlink r:id="rId13">
        <w:r w:rsidR="0E48EDFC" w:rsidRPr="3ABCB01F">
          <w:rPr>
            <w:rStyle w:val="Hyperlink"/>
            <w:color w:val="auto"/>
            <w:lang w:val="en-US"/>
          </w:rPr>
          <w:t>33 European countries</w:t>
        </w:r>
      </w:hyperlink>
      <w:r w:rsidRPr="3ABCB01F">
        <w:rPr>
          <w:lang w:val="en-US"/>
        </w:rPr>
        <w:t xml:space="preserve"> on each of your 10 travel days</w:t>
      </w:r>
      <w:r w:rsidR="003F4C0E" w:rsidRPr="3ABCB01F">
        <w:rPr>
          <w:lang w:val="en-US"/>
        </w:rPr>
        <w:t>;</w:t>
      </w:r>
    </w:p>
    <w:p w14:paraId="0180B7B0" w14:textId="0DC98B83" w:rsidR="00FF7E9E" w:rsidRPr="00890216" w:rsidRDefault="007B2EBD" w:rsidP="00890216">
      <w:pPr>
        <w:pStyle w:val="ListParagraph"/>
        <w:numPr>
          <w:ilvl w:val="0"/>
          <w:numId w:val="5"/>
        </w:numPr>
        <w:shd w:val="clear" w:color="auto" w:fill="FFFFFF"/>
        <w:spacing w:after="0" w:line="240" w:lineRule="auto"/>
        <w:textAlignment w:val="baseline"/>
        <w:rPr>
          <w:lang w:val="en-US"/>
        </w:rPr>
      </w:pPr>
      <w:r w:rsidRPr="0049246D">
        <w:rPr>
          <w:lang w:val="en-US"/>
        </w:rPr>
        <w:t>Delivered instantly to your device</w:t>
      </w:r>
      <w:r w:rsidR="00890216">
        <w:rPr>
          <w:lang w:val="en-US"/>
        </w:rPr>
        <w:t>.</w:t>
      </w:r>
      <w:r w:rsidR="00890216" w:rsidRPr="00890216">
        <w:rPr>
          <w:lang w:val="en-US"/>
        </w:rPr>
        <w:t xml:space="preserve"> </w:t>
      </w:r>
      <w:r w:rsidR="00890216" w:rsidRPr="0049246D">
        <w:rPr>
          <w:lang w:val="en-US"/>
        </w:rPr>
        <w:t>No waiting for delivery</w:t>
      </w:r>
      <w:r w:rsidR="003F4C0E">
        <w:rPr>
          <w:lang w:val="en-US"/>
        </w:rPr>
        <w:t>;</w:t>
      </w:r>
    </w:p>
    <w:p w14:paraId="21E7A3D8" w14:textId="1449B8DF" w:rsidR="007B2EBD" w:rsidRDefault="007B2EBD" w:rsidP="00FF7E9E">
      <w:pPr>
        <w:pStyle w:val="ListParagraph"/>
        <w:numPr>
          <w:ilvl w:val="0"/>
          <w:numId w:val="5"/>
        </w:numPr>
        <w:shd w:val="clear" w:color="auto" w:fill="FFFFFF"/>
        <w:spacing w:after="0" w:line="240" w:lineRule="auto"/>
        <w:textAlignment w:val="baseline"/>
        <w:rPr>
          <w:lang w:val="en-US"/>
        </w:rPr>
      </w:pPr>
      <w:r w:rsidRPr="00FF7E9E">
        <w:rPr>
          <w:lang w:val="en-US"/>
        </w:rPr>
        <w:t>Buy now, travel up to 11 months later</w:t>
      </w:r>
      <w:r w:rsidR="00C42C12" w:rsidRPr="00FF7E9E">
        <w:rPr>
          <w:lang w:val="en-US"/>
        </w:rPr>
        <w:t>. An</w:t>
      </w:r>
      <w:r w:rsidR="00FF7E9E" w:rsidRPr="00FF7E9E">
        <w:rPr>
          <w:lang w:val="en-US"/>
        </w:rPr>
        <w:t xml:space="preserve">d </w:t>
      </w:r>
      <w:r w:rsidR="00890216">
        <w:rPr>
          <w:lang w:val="en-US"/>
        </w:rPr>
        <w:t>n</w:t>
      </w:r>
      <w:r w:rsidR="00FF7E9E" w:rsidRPr="00FF7E9E">
        <w:rPr>
          <w:lang w:val="en-US"/>
        </w:rPr>
        <w:t>o need to choose a start date until you travel</w:t>
      </w:r>
      <w:r w:rsidR="003F4C0E">
        <w:rPr>
          <w:lang w:val="en-US"/>
        </w:rPr>
        <w:t>;</w:t>
      </w:r>
    </w:p>
    <w:p w14:paraId="78DC1387" w14:textId="761262BD" w:rsidR="005025F9" w:rsidRPr="00FF7E9E" w:rsidRDefault="005025F9" w:rsidP="3EC07638">
      <w:pPr>
        <w:pStyle w:val="ListParagraph"/>
        <w:numPr>
          <w:ilvl w:val="0"/>
          <w:numId w:val="5"/>
        </w:numPr>
        <w:shd w:val="clear" w:color="auto" w:fill="FFFFFF" w:themeFill="background1"/>
        <w:spacing w:after="0" w:line="240" w:lineRule="auto"/>
        <w:textAlignment w:val="baseline"/>
        <w:rPr>
          <w:lang w:val="en-US"/>
        </w:rPr>
      </w:pPr>
      <w:r w:rsidRPr="3ABCB01F">
        <w:rPr>
          <w:lang w:val="en-US"/>
        </w:rPr>
        <w:t xml:space="preserve">Some trains ask you to buy an additional seat reservation before you can jump aboard. Find out when you need to book extra seat reservations and how much they cost </w:t>
      </w:r>
      <w:hyperlink r:id="rId14">
        <w:r w:rsidRPr="3ABCB01F">
          <w:rPr>
            <w:rStyle w:val="Hyperlink"/>
            <w:lang w:val="en-US"/>
          </w:rPr>
          <w:t>here</w:t>
        </w:r>
        <w:r w:rsidR="3E11C9F2" w:rsidRPr="3ABCB01F">
          <w:rPr>
            <w:rStyle w:val="Hyperlink"/>
            <w:lang w:val="en-US"/>
          </w:rPr>
          <w:t>.</w:t>
        </w:r>
      </w:hyperlink>
      <w:r w:rsidR="00783674" w:rsidRPr="3ABCB01F">
        <w:rPr>
          <w:lang w:val="en-US"/>
        </w:rPr>
        <w:t xml:space="preserve"> </w:t>
      </w:r>
    </w:p>
    <w:p w14:paraId="5FE8AD1B" w14:textId="77777777" w:rsidR="0049246D" w:rsidRDefault="0049246D" w:rsidP="007B2EBD">
      <w:pPr>
        <w:shd w:val="clear" w:color="auto" w:fill="FFFFFF"/>
        <w:spacing w:after="0" w:line="240" w:lineRule="auto"/>
        <w:textAlignment w:val="baseline"/>
        <w:rPr>
          <w:lang w:val="en-US"/>
        </w:rPr>
      </w:pPr>
    </w:p>
    <w:p w14:paraId="1DC5009D" w14:textId="1C29D62A" w:rsidR="00F50626" w:rsidRPr="00E0757C" w:rsidRDefault="004D5E13" w:rsidP="00E0757C">
      <w:pPr>
        <w:shd w:val="clear" w:color="auto" w:fill="FFFFFF"/>
        <w:rPr>
          <w:b/>
          <w:bCs/>
          <w:color w:val="70AD47" w:themeColor="accent6"/>
          <w:lang w:val="en-US"/>
        </w:rPr>
      </w:pPr>
      <w:r>
        <w:rPr>
          <w:b/>
          <w:bCs/>
          <w:color w:val="70AD47" w:themeColor="accent6"/>
          <w:lang w:val="en-US"/>
        </w:rPr>
        <w:t xml:space="preserve">How much does </w:t>
      </w:r>
      <w:r w:rsidR="006754DA">
        <w:rPr>
          <w:b/>
          <w:bCs/>
          <w:color w:val="70AD47" w:themeColor="accent6"/>
          <w:lang w:val="en-US"/>
        </w:rPr>
        <w:t>an Interrail Pass</w:t>
      </w:r>
      <w:r>
        <w:rPr>
          <w:b/>
          <w:bCs/>
          <w:color w:val="70AD47" w:themeColor="accent6"/>
          <w:lang w:val="en-US"/>
        </w:rPr>
        <w:t xml:space="preserve"> cost</w:t>
      </w:r>
      <w:r w:rsidR="00823FC8">
        <w:rPr>
          <w:b/>
          <w:bCs/>
          <w:color w:val="70AD47" w:themeColor="accent6"/>
          <w:lang w:val="en-US"/>
        </w:rPr>
        <w:t xml:space="preserve"> with this promotion</w:t>
      </w:r>
      <w:r w:rsidRPr="004D5E13">
        <w:rPr>
          <w:b/>
          <w:bCs/>
          <w:color w:val="70AD47" w:themeColor="accent6"/>
          <w:lang w:val="en-US"/>
        </w:rPr>
        <w:t>?</w:t>
      </w:r>
    </w:p>
    <w:tbl>
      <w:tblPr>
        <w:tblStyle w:val="GridTable6Colorful-Accent6"/>
        <w:tblW w:w="9507" w:type="dxa"/>
        <w:tblLook w:val="04A0" w:firstRow="1" w:lastRow="0" w:firstColumn="1" w:lastColumn="0" w:noHBand="0" w:noVBand="1"/>
      </w:tblPr>
      <w:tblGrid>
        <w:gridCol w:w="2957"/>
        <w:gridCol w:w="3275"/>
        <w:gridCol w:w="3275"/>
      </w:tblGrid>
      <w:tr w:rsidR="00CE7787" w14:paraId="40445A5E" w14:textId="77777777" w:rsidTr="00B50ED3">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957" w:type="dxa"/>
          </w:tcPr>
          <w:p w14:paraId="6FC1573F" w14:textId="77777777" w:rsidR="005F78BF" w:rsidRPr="00B50ED3" w:rsidRDefault="005F78BF" w:rsidP="009809FB">
            <w:pPr>
              <w:rPr>
                <w:b w:val="0"/>
                <w:bCs w:val="0"/>
                <w:lang w:val="en-US"/>
              </w:rPr>
            </w:pPr>
            <w:r w:rsidRPr="00B50ED3">
              <w:rPr>
                <w:b w:val="0"/>
                <w:bCs w:val="0"/>
                <w:lang w:val="en-US"/>
              </w:rPr>
              <w:t>10 days/2 months</w:t>
            </w:r>
            <w:r w:rsidRPr="00B50ED3">
              <w:rPr>
                <w:lang w:val="en-US"/>
              </w:rPr>
              <w:t xml:space="preserve"> </w:t>
            </w:r>
          </w:p>
          <w:p w14:paraId="7EC2A15D" w14:textId="5263345E" w:rsidR="00CE7787" w:rsidRPr="00E0757C" w:rsidRDefault="005F78BF" w:rsidP="009809FB">
            <w:pPr>
              <w:rPr>
                <w:lang w:val="en-US"/>
              </w:rPr>
            </w:pPr>
            <w:r w:rsidRPr="00B50ED3">
              <w:rPr>
                <w:lang w:val="en-US"/>
              </w:rPr>
              <w:t xml:space="preserve">Interrail </w:t>
            </w:r>
            <w:r w:rsidRPr="000D4532">
              <w:rPr>
                <w:lang w:val="en-US"/>
              </w:rPr>
              <w:t>mobile Global</w:t>
            </w:r>
            <w:r w:rsidRPr="00B50ED3">
              <w:rPr>
                <w:b w:val="0"/>
                <w:bCs w:val="0"/>
                <w:lang w:val="en-US"/>
              </w:rPr>
              <w:t xml:space="preserve"> </w:t>
            </w:r>
            <w:r w:rsidRPr="00B50ED3">
              <w:rPr>
                <w:lang w:val="en-US"/>
              </w:rPr>
              <w:t>Pass</w:t>
            </w:r>
            <w:r w:rsidR="00E0757C" w:rsidRPr="00B50ED3">
              <w:rPr>
                <w:b w:val="0"/>
                <w:bCs w:val="0"/>
                <w:lang w:val="en-US"/>
              </w:rPr>
              <w:t xml:space="preserve"> (20% discount included)</w:t>
            </w:r>
          </w:p>
        </w:tc>
        <w:tc>
          <w:tcPr>
            <w:tcW w:w="3275" w:type="dxa"/>
          </w:tcPr>
          <w:p w14:paraId="0D93E1E9" w14:textId="42251E08" w:rsidR="00CE7787" w:rsidRPr="00253D47" w:rsidRDefault="003246D5" w:rsidP="009809FB">
            <w:pPr>
              <w:cnfStyle w:val="100000000000" w:firstRow="1" w:lastRow="0" w:firstColumn="0" w:lastColumn="0" w:oddVBand="0" w:evenVBand="0" w:oddHBand="0" w:evenHBand="0" w:firstRowFirstColumn="0" w:firstRowLastColumn="0" w:lastRowFirstColumn="0" w:lastRowLastColumn="0"/>
              <w:rPr>
                <w:b w:val="0"/>
                <w:bCs w:val="0"/>
                <w:lang w:val="en-US"/>
              </w:rPr>
            </w:pPr>
            <w:r w:rsidRPr="00253D47">
              <w:rPr>
                <w:b w:val="0"/>
                <w:bCs w:val="0"/>
                <w:lang w:val="en-US"/>
              </w:rPr>
              <w:t>1</w:t>
            </w:r>
            <w:r w:rsidR="00253D47" w:rsidRPr="00253D47">
              <w:rPr>
                <w:b w:val="0"/>
                <w:bCs w:val="0"/>
                <w:vertAlign w:val="superscript"/>
                <w:lang w:val="en-US"/>
              </w:rPr>
              <w:t>st</w:t>
            </w:r>
            <w:r w:rsidR="00253D47">
              <w:rPr>
                <w:b w:val="0"/>
                <w:bCs w:val="0"/>
                <w:lang w:val="en-US"/>
              </w:rPr>
              <w:t xml:space="preserve"> </w:t>
            </w:r>
            <w:r w:rsidR="00CE7787" w:rsidRPr="00253D47">
              <w:rPr>
                <w:b w:val="0"/>
                <w:bCs w:val="0"/>
                <w:lang w:val="en-US"/>
              </w:rPr>
              <w:t>class</w:t>
            </w:r>
          </w:p>
        </w:tc>
        <w:tc>
          <w:tcPr>
            <w:tcW w:w="3275" w:type="dxa"/>
          </w:tcPr>
          <w:p w14:paraId="7D4E4F47" w14:textId="0CD5FDA7" w:rsidR="00CE7787" w:rsidRPr="00253D47" w:rsidRDefault="00CE7787" w:rsidP="009809FB">
            <w:pPr>
              <w:cnfStyle w:val="100000000000" w:firstRow="1" w:lastRow="0" w:firstColumn="0" w:lastColumn="0" w:oddVBand="0" w:evenVBand="0" w:oddHBand="0" w:evenHBand="0" w:firstRowFirstColumn="0" w:firstRowLastColumn="0" w:lastRowFirstColumn="0" w:lastRowLastColumn="0"/>
              <w:rPr>
                <w:b w:val="0"/>
                <w:bCs w:val="0"/>
                <w:lang w:val="en-US"/>
              </w:rPr>
            </w:pPr>
            <w:r w:rsidRPr="00253D47">
              <w:rPr>
                <w:b w:val="0"/>
                <w:bCs w:val="0"/>
                <w:lang w:val="en-US"/>
              </w:rPr>
              <w:t>2</w:t>
            </w:r>
            <w:r w:rsidRPr="00253D47">
              <w:rPr>
                <w:b w:val="0"/>
                <w:bCs w:val="0"/>
                <w:vertAlign w:val="superscript"/>
                <w:lang w:val="en-US"/>
              </w:rPr>
              <w:t>nd</w:t>
            </w:r>
            <w:r w:rsidRPr="00253D47">
              <w:rPr>
                <w:b w:val="0"/>
                <w:bCs w:val="0"/>
                <w:lang w:val="en-US"/>
              </w:rPr>
              <w:t xml:space="preserve"> class</w:t>
            </w:r>
          </w:p>
        </w:tc>
      </w:tr>
      <w:tr w:rsidR="00CE7787" w14:paraId="38113FB5" w14:textId="77777777" w:rsidTr="00B50ED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57" w:type="dxa"/>
          </w:tcPr>
          <w:p w14:paraId="2A7BD1E3" w14:textId="4B11AFBE" w:rsidR="00CE7787" w:rsidRPr="007E0E93" w:rsidRDefault="00CE7787" w:rsidP="009809FB">
            <w:pPr>
              <w:rPr>
                <w:b w:val="0"/>
                <w:bCs w:val="0"/>
                <w:lang w:val="en-US"/>
              </w:rPr>
            </w:pPr>
            <w:r w:rsidRPr="007E0E93">
              <w:rPr>
                <w:b w:val="0"/>
                <w:bCs w:val="0"/>
                <w:lang w:val="en-US"/>
              </w:rPr>
              <w:t>Youth (&lt; 27 year old)</w:t>
            </w:r>
          </w:p>
        </w:tc>
        <w:tc>
          <w:tcPr>
            <w:tcW w:w="3275" w:type="dxa"/>
          </w:tcPr>
          <w:p w14:paraId="194BA07E" w14:textId="751F955D" w:rsidR="00CE7787" w:rsidRPr="000D4532" w:rsidRDefault="009908CC" w:rsidP="009809FB">
            <w:pPr>
              <w:cnfStyle w:val="000000100000" w:firstRow="0" w:lastRow="0" w:firstColumn="0" w:lastColumn="0" w:oddVBand="0" w:evenVBand="0" w:oddHBand="1" w:evenHBand="0" w:firstRowFirstColumn="0" w:firstRowLastColumn="0" w:lastRowFirstColumn="0" w:lastRowLastColumn="0"/>
              <w:rPr>
                <w:sz w:val="28"/>
                <w:szCs w:val="28"/>
                <w:lang w:val="en-US"/>
              </w:rPr>
            </w:pPr>
            <w:r w:rsidRPr="000D4532">
              <w:rPr>
                <w:rFonts w:cstheme="minorHAnsi"/>
                <w:sz w:val="28"/>
                <w:szCs w:val="28"/>
                <w:lang w:val="en-US"/>
              </w:rPr>
              <w:t>€</w:t>
            </w:r>
            <w:r>
              <w:rPr>
                <w:rFonts w:cstheme="minorHAnsi"/>
                <w:sz w:val="28"/>
                <w:szCs w:val="28"/>
                <w:lang w:val="en-US"/>
              </w:rPr>
              <w:t xml:space="preserve"> </w:t>
            </w:r>
            <w:r w:rsidR="0024287C" w:rsidRPr="000D4532">
              <w:rPr>
                <w:sz w:val="28"/>
                <w:szCs w:val="28"/>
                <w:lang w:val="en-US"/>
              </w:rPr>
              <w:t>321</w:t>
            </w:r>
            <w:r w:rsidR="000D4532">
              <w:rPr>
                <w:rFonts w:cstheme="minorHAnsi"/>
                <w:sz w:val="28"/>
                <w:szCs w:val="28"/>
                <w:lang w:val="en-US"/>
              </w:rPr>
              <w:t xml:space="preserve"> </w:t>
            </w:r>
            <w:r w:rsidR="000D4532" w:rsidRPr="001330C5">
              <w:rPr>
                <w:rFonts w:cstheme="minorHAnsi"/>
                <w:i/>
                <w:iCs/>
                <w:lang w:val="en-US"/>
              </w:rPr>
              <w:t>(</w:t>
            </w:r>
            <w:r w:rsidR="00AA639D">
              <w:rPr>
                <w:rFonts w:cstheme="minorHAnsi"/>
                <w:i/>
                <w:iCs/>
                <w:lang w:val="en-US"/>
              </w:rPr>
              <w:t>instead of</w:t>
            </w:r>
            <w:r w:rsidR="000D4532" w:rsidRPr="001330C5">
              <w:rPr>
                <w:rFonts w:cstheme="minorHAnsi"/>
                <w:i/>
                <w:iCs/>
                <w:lang w:val="en-US"/>
              </w:rPr>
              <w:t xml:space="preserve"> </w:t>
            </w:r>
            <w:r w:rsidRPr="001330C5">
              <w:rPr>
                <w:rFonts w:cstheme="minorHAnsi"/>
                <w:i/>
                <w:iCs/>
                <w:lang w:val="en-US"/>
              </w:rPr>
              <w:t>€</w:t>
            </w:r>
            <w:r>
              <w:rPr>
                <w:rFonts w:cstheme="minorHAnsi"/>
                <w:i/>
                <w:iCs/>
                <w:lang w:val="en-US"/>
              </w:rPr>
              <w:t xml:space="preserve"> </w:t>
            </w:r>
            <w:r w:rsidR="001330C5" w:rsidRPr="001330C5">
              <w:rPr>
                <w:rFonts w:cstheme="minorHAnsi"/>
                <w:i/>
                <w:iCs/>
                <w:lang w:val="en-US"/>
              </w:rPr>
              <w:t>401)</w:t>
            </w:r>
          </w:p>
        </w:tc>
        <w:tc>
          <w:tcPr>
            <w:tcW w:w="3275" w:type="dxa"/>
          </w:tcPr>
          <w:p w14:paraId="0558BB2C" w14:textId="48887716" w:rsidR="00CE7787" w:rsidRPr="000D4532" w:rsidRDefault="009908CC" w:rsidP="009809FB">
            <w:pPr>
              <w:cnfStyle w:val="000000100000" w:firstRow="0" w:lastRow="0" w:firstColumn="0" w:lastColumn="0" w:oddVBand="0" w:evenVBand="0" w:oddHBand="1" w:evenHBand="0" w:firstRowFirstColumn="0" w:firstRowLastColumn="0" w:lastRowFirstColumn="0" w:lastRowLastColumn="0"/>
              <w:rPr>
                <w:sz w:val="28"/>
                <w:szCs w:val="28"/>
                <w:lang w:val="en-US"/>
              </w:rPr>
            </w:pPr>
            <w:r w:rsidRPr="000D4532">
              <w:rPr>
                <w:rFonts w:cstheme="minorHAnsi"/>
                <w:sz w:val="28"/>
                <w:szCs w:val="28"/>
                <w:lang w:val="en-US"/>
              </w:rPr>
              <w:t>€</w:t>
            </w:r>
            <w:r>
              <w:rPr>
                <w:rFonts w:cstheme="minorHAnsi"/>
                <w:sz w:val="28"/>
                <w:szCs w:val="28"/>
                <w:lang w:val="en-US"/>
              </w:rPr>
              <w:t xml:space="preserve"> </w:t>
            </w:r>
            <w:r w:rsidR="00A6168B" w:rsidRPr="000D4532">
              <w:rPr>
                <w:sz w:val="28"/>
                <w:szCs w:val="28"/>
                <w:lang w:val="en-US"/>
              </w:rPr>
              <w:t>241</w:t>
            </w:r>
            <w:r w:rsidR="00F50626" w:rsidRPr="000D4532">
              <w:rPr>
                <w:sz w:val="28"/>
                <w:szCs w:val="28"/>
                <w:lang w:val="en-US"/>
              </w:rPr>
              <w:t xml:space="preserve"> </w:t>
            </w:r>
            <w:r w:rsidR="00287678" w:rsidRPr="001330C5">
              <w:rPr>
                <w:rFonts w:cstheme="minorHAnsi"/>
                <w:i/>
                <w:iCs/>
                <w:lang w:val="en-US"/>
              </w:rPr>
              <w:t>(</w:t>
            </w:r>
            <w:r w:rsidR="00AA639D">
              <w:rPr>
                <w:rFonts w:cstheme="minorHAnsi"/>
                <w:i/>
                <w:iCs/>
                <w:lang w:val="en-US"/>
              </w:rPr>
              <w:t>instead of</w:t>
            </w:r>
            <w:r w:rsidR="00287678" w:rsidRPr="001330C5">
              <w:rPr>
                <w:rFonts w:cstheme="minorHAnsi"/>
                <w:i/>
                <w:iCs/>
                <w:lang w:val="en-US"/>
              </w:rPr>
              <w:t xml:space="preserve"> €</w:t>
            </w:r>
            <w:r w:rsidR="00287678">
              <w:rPr>
                <w:rFonts w:cstheme="minorHAnsi"/>
                <w:i/>
                <w:iCs/>
                <w:lang w:val="en-US"/>
              </w:rPr>
              <w:t xml:space="preserve"> 3</w:t>
            </w:r>
            <w:r w:rsidR="00287678" w:rsidRPr="001330C5">
              <w:rPr>
                <w:rFonts w:cstheme="minorHAnsi"/>
                <w:i/>
                <w:iCs/>
                <w:lang w:val="en-US"/>
              </w:rPr>
              <w:t>01)</w:t>
            </w:r>
          </w:p>
        </w:tc>
      </w:tr>
      <w:tr w:rsidR="00CE7787" w14:paraId="024F7E1A" w14:textId="77777777" w:rsidTr="00B50ED3">
        <w:trPr>
          <w:trHeight w:val="285"/>
        </w:trPr>
        <w:tc>
          <w:tcPr>
            <w:cnfStyle w:val="001000000000" w:firstRow="0" w:lastRow="0" w:firstColumn="1" w:lastColumn="0" w:oddVBand="0" w:evenVBand="0" w:oddHBand="0" w:evenHBand="0" w:firstRowFirstColumn="0" w:firstRowLastColumn="0" w:lastRowFirstColumn="0" w:lastRowLastColumn="0"/>
            <w:tcW w:w="2957" w:type="dxa"/>
          </w:tcPr>
          <w:p w14:paraId="3F21FB90" w14:textId="45F8FE77" w:rsidR="00CE7787" w:rsidRPr="007E0E93" w:rsidRDefault="00CE7787" w:rsidP="009809FB">
            <w:pPr>
              <w:rPr>
                <w:b w:val="0"/>
                <w:bCs w:val="0"/>
                <w:lang w:val="en-US"/>
              </w:rPr>
            </w:pPr>
            <w:r w:rsidRPr="007E0E93">
              <w:rPr>
                <w:b w:val="0"/>
                <w:bCs w:val="0"/>
                <w:lang w:val="en-US"/>
              </w:rPr>
              <w:t>Adult (28+ year old)</w:t>
            </w:r>
          </w:p>
        </w:tc>
        <w:tc>
          <w:tcPr>
            <w:tcW w:w="3275" w:type="dxa"/>
          </w:tcPr>
          <w:p w14:paraId="08C5C97D" w14:textId="09B44EE9" w:rsidR="00CE7787" w:rsidRPr="000D4532" w:rsidRDefault="009908CC" w:rsidP="009809FB">
            <w:pPr>
              <w:cnfStyle w:val="000000000000" w:firstRow="0" w:lastRow="0" w:firstColumn="0" w:lastColumn="0" w:oddVBand="0" w:evenVBand="0" w:oddHBand="0" w:evenHBand="0" w:firstRowFirstColumn="0" w:firstRowLastColumn="0" w:lastRowFirstColumn="0" w:lastRowLastColumn="0"/>
              <w:rPr>
                <w:sz w:val="28"/>
                <w:szCs w:val="28"/>
                <w:lang w:val="en-US"/>
              </w:rPr>
            </w:pPr>
            <w:r w:rsidRPr="000D4532">
              <w:rPr>
                <w:rFonts w:cstheme="minorHAnsi"/>
                <w:sz w:val="28"/>
                <w:szCs w:val="28"/>
                <w:lang w:val="en-US"/>
              </w:rPr>
              <w:t>€</w:t>
            </w:r>
            <w:r>
              <w:rPr>
                <w:rFonts w:cstheme="minorHAnsi"/>
                <w:sz w:val="28"/>
                <w:szCs w:val="28"/>
                <w:lang w:val="en-US"/>
              </w:rPr>
              <w:t xml:space="preserve"> </w:t>
            </w:r>
            <w:r w:rsidR="0024287C" w:rsidRPr="000D4532">
              <w:rPr>
                <w:sz w:val="28"/>
                <w:szCs w:val="28"/>
                <w:lang w:val="en-US"/>
              </w:rPr>
              <w:t>427</w:t>
            </w:r>
            <w:r w:rsidR="00F50626" w:rsidRPr="000D4532">
              <w:rPr>
                <w:sz w:val="28"/>
                <w:szCs w:val="28"/>
                <w:lang w:val="en-US"/>
              </w:rPr>
              <w:t xml:space="preserve"> </w:t>
            </w:r>
            <w:r w:rsidR="00E569EE" w:rsidRPr="001330C5">
              <w:rPr>
                <w:rFonts w:cstheme="minorHAnsi"/>
                <w:i/>
                <w:iCs/>
                <w:lang w:val="en-US"/>
              </w:rPr>
              <w:t>(</w:t>
            </w:r>
            <w:r w:rsidR="00AA639D">
              <w:rPr>
                <w:rFonts w:cstheme="minorHAnsi"/>
                <w:i/>
                <w:iCs/>
                <w:lang w:val="en-US"/>
              </w:rPr>
              <w:t>instead of</w:t>
            </w:r>
            <w:r w:rsidR="00E569EE" w:rsidRPr="001330C5">
              <w:rPr>
                <w:rFonts w:cstheme="minorHAnsi"/>
                <w:i/>
                <w:iCs/>
                <w:lang w:val="en-US"/>
              </w:rPr>
              <w:t xml:space="preserve"> €</w:t>
            </w:r>
            <w:r w:rsidR="00E569EE">
              <w:rPr>
                <w:rFonts w:cstheme="minorHAnsi"/>
                <w:i/>
                <w:iCs/>
                <w:lang w:val="en-US"/>
              </w:rPr>
              <w:t xml:space="preserve"> 534</w:t>
            </w:r>
            <w:r w:rsidR="00E569EE" w:rsidRPr="001330C5">
              <w:rPr>
                <w:rFonts w:cstheme="minorHAnsi"/>
                <w:i/>
                <w:iCs/>
                <w:lang w:val="en-US"/>
              </w:rPr>
              <w:t>)</w:t>
            </w:r>
          </w:p>
        </w:tc>
        <w:tc>
          <w:tcPr>
            <w:tcW w:w="3275" w:type="dxa"/>
          </w:tcPr>
          <w:p w14:paraId="26CF85DF" w14:textId="3230E42A" w:rsidR="00CE7787" w:rsidRPr="000D4532" w:rsidRDefault="009908CC" w:rsidP="009809FB">
            <w:pPr>
              <w:cnfStyle w:val="000000000000" w:firstRow="0" w:lastRow="0" w:firstColumn="0" w:lastColumn="0" w:oddVBand="0" w:evenVBand="0" w:oddHBand="0" w:evenHBand="0" w:firstRowFirstColumn="0" w:firstRowLastColumn="0" w:lastRowFirstColumn="0" w:lastRowLastColumn="0"/>
              <w:rPr>
                <w:sz w:val="28"/>
                <w:szCs w:val="28"/>
                <w:lang w:val="en-US"/>
              </w:rPr>
            </w:pPr>
            <w:r w:rsidRPr="000D4532">
              <w:rPr>
                <w:rFonts w:cstheme="minorHAnsi"/>
                <w:sz w:val="28"/>
                <w:szCs w:val="28"/>
                <w:lang w:val="en-US"/>
              </w:rPr>
              <w:t>€</w:t>
            </w:r>
            <w:r>
              <w:rPr>
                <w:rFonts w:cstheme="minorHAnsi"/>
                <w:sz w:val="28"/>
                <w:szCs w:val="28"/>
                <w:lang w:val="en-US"/>
              </w:rPr>
              <w:t xml:space="preserve"> </w:t>
            </w:r>
            <w:r w:rsidR="00A6168B" w:rsidRPr="000D4532">
              <w:rPr>
                <w:sz w:val="28"/>
                <w:szCs w:val="28"/>
                <w:lang w:val="en-US"/>
              </w:rPr>
              <w:t>321</w:t>
            </w:r>
            <w:r>
              <w:rPr>
                <w:sz w:val="28"/>
                <w:szCs w:val="28"/>
                <w:lang w:val="en-US"/>
              </w:rPr>
              <w:t xml:space="preserve"> </w:t>
            </w:r>
            <w:r w:rsidRPr="001330C5">
              <w:rPr>
                <w:rFonts w:cstheme="minorHAnsi"/>
                <w:i/>
                <w:iCs/>
                <w:lang w:val="en-US"/>
              </w:rPr>
              <w:t>(</w:t>
            </w:r>
            <w:r w:rsidR="00AA639D">
              <w:rPr>
                <w:rFonts w:cstheme="minorHAnsi"/>
                <w:i/>
                <w:iCs/>
                <w:lang w:val="en-US"/>
              </w:rPr>
              <w:t>instead of</w:t>
            </w:r>
            <w:r w:rsidRPr="001330C5">
              <w:rPr>
                <w:rFonts w:cstheme="minorHAnsi"/>
                <w:i/>
                <w:iCs/>
                <w:lang w:val="en-US"/>
              </w:rPr>
              <w:t xml:space="preserve"> €</w:t>
            </w:r>
            <w:r>
              <w:rPr>
                <w:rFonts w:cstheme="minorHAnsi"/>
                <w:i/>
                <w:iCs/>
                <w:lang w:val="en-US"/>
              </w:rPr>
              <w:t xml:space="preserve"> </w:t>
            </w:r>
            <w:r w:rsidRPr="001330C5">
              <w:rPr>
                <w:rFonts w:cstheme="minorHAnsi"/>
                <w:i/>
                <w:iCs/>
                <w:lang w:val="en-US"/>
              </w:rPr>
              <w:t>401)</w:t>
            </w:r>
          </w:p>
        </w:tc>
      </w:tr>
    </w:tbl>
    <w:p w14:paraId="05F0BB38" w14:textId="267B49AC" w:rsidR="009809FB" w:rsidRDefault="009809FB" w:rsidP="009809FB">
      <w:pPr>
        <w:shd w:val="clear" w:color="auto" w:fill="FFFFFF"/>
        <w:rPr>
          <w:lang w:val="en-US"/>
        </w:rPr>
      </w:pPr>
    </w:p>
    <w:p w14:paraId="62C60EBB" w14:textId="0FCE9728" w:rsidR="009F2185" w:rsidRDefault="009F2185" w:rsidP="009809FB">
      <w:pPr>
        <w:shd w:val="clear" w:color="auto" w:fill="FFFFFF"/>
        <w:rPr>
          <w:lang w:val="en-US"/>
        </w:rPr>
      </w:pPr>
    </w:p>
    <w:p w14:paraId="038995ED" w14:textId="50496802" w:rsidR="004009A2" w:rsidRDefault="004009A2" w:rsidP="009809FB">
      <w:pPr>
        <w:shd w:val="clear" w:color="auto" w:fill="FFFFFF"/>
        <w:rPr>
          <w:lang w:val="en-US"/>
        </w:rPr>
      </w:pPr>
    </w:p>
    <w:p w14:paraId="2B27F66F" w14:textId="3725D4C5" w:rsidR="004009A2" w:rsidRDefault="004009A2" w:rsidP="009809FB">
      <w:pPr>
        <w:shd w:val="clear" w:color="auto" w:fill="FFFFFF"/>
        <w:rPr>
          <w:lang w:val="en-US"/>
        </w:rPr>
      </w:pPr>
    </w:p>
    <w:p w14:paraId="4160583E" w14:textId="77777777" w:rsidR="004009A2" w:rsidRDefault="004009A2" w:rsidP="009809FB">
      <w:pPr>
        <w:shd w:val="clear" w:color="auto" w:fill="FFFFFF"/>
        <w:rPr>
          <w:lang w:val="en-US"/>
        </w:rPr>
      </w:pPr>
    </w:p>
    <w:p w14:paraId="65730E31" w14:textId="72944FC5" w:rsidR="00C35E68" w:rsidRDefault="00C35E68" w:rsidP="00C35E68">
      <w:pPr>
        <w:shd w:val="clear" w:color="auto" w:fill="FFFFFF"/>
        <w:rPr>
          <w:b/>
          <w:bCs/>
          <w:color w:val="70AD47" w:themeColor="accent6"/>
          <w:lang w:val="en-US"/>
        </w:rPr>
      </w:pPr>
      <w:r>
        <w:rPr>
          <w:b/>
          <w:bCs/>
          <w:color w:val="70AD47" w:themeColor="accent6"/>
          <w:lang w:val="en-US"/>
        </w:rPr>
        <w:lastRenderedPageBreak/>
        <w:t xml:space="preserve">Who is eligible for this </w:t>
      </w:r>
      <w:r w:rsidR="0059099B">
        <w:rPr>
          <w:b/>
          <w:bCs/>
          <w:color w:val="70AD47" w:themeColor="accent6"/>
          <w:lang w:val="en-US"/>
        </w:rPr>
        <w:t>promotion</w:t>
      </w:r>
      <w:r w:rsidRPr="004D5E13">
        <w:rPr>
          <w:b/>
          <w:bCs/>
          <w:color w:val="70AD47" w:themeColor="accent6"/>
          <w:lang w:val="en-US"/>
        </w:rPr>
        <w:t>?</w:t>
      </w:r>
    </w:p>
    <w:p w14:paraId="77100138" w14:textId="52182E75" w:rsidR="00054B38" w:rsidRDefault="00697BEC" w:rsidP="00C35E68">
      <w:pPr>
        <w:shd w:val="clear" w:color="auto" w:fill="FFFFFF"/>
        <w:rPr>
          <w:lang w:val="en-US"/>
        </w:rPr>
      </w:pPr>
      <w:r>
        <w:rPr>
          <w:lang w:val="en-US"/>
        </w:rPr>
        <w:t xml:space="preserve">This promotion is available </w:t>
      </w:r>
      <w:r w:rsidRPr="0037639D">
        <w:rPr>
          <w:b/>
          <w:bCs/>
          <w:lang w:val="en-US"/>
        </w:rPr>
        <w:t xml:space="preserve">exclusively </w:t>
      </w:r>
      <w:r w:rsidR="0037639D" w:rsidRPr="0037639D">
        <w:rPr>
          <w:b/>
          <w:bCs/>
          <w:lang w:val="en-US"/>
        </w:rPr>
        <w:t>to</w:t>
      </w:r>
      <w:r w:rsidRPr="0037639D">
        <w:rPr>
          <w:b/>
          <w:bCs/>
          <w:lang w:val="en-US"/>
        </w:rPr>
        <w:t xml:space="preserve"> Erasmus+ participants</w:t>
      </w:r>
      <w:r w:rsidR="00F11109">
        <w:rPr>
          <w:b/>
          <w:bCs/>
          <w:lang w:val="en-US"/>
        </w:rPr>
        <w:t xml:space="preserve"> (students and staff)</w:t>
      </w:r>
      <w:r w:rsidRPr="0037639D">
        <w:rPr>
          <w:b/>
          <w:bCs/>
          <w:lang w:val="en-US"/>
        </w:rPr>
        <w:t xml:space="preserve"> from </w:t>
      </w:r>
      <w:r w:rsidR="00054B38" w:rsidRPr="0037639D">
        <w:rPr>
          <w:b/>
          <w:bCs/>
          <w:lang w:val="en-US"/>
        </w:rPr>
        <w:t xml:space="preserve">the following </w:t>
      </w:r>
      <w:r w:rsidR="00AD1882">
        <w:rPr>
          <w:b/>
          <w:bCs/>
          <w:lang w:val="en-US"/>
        </w:rPr>
        <w:t>2</w:t>
      </w:r>
      <w:r w:rsidR="006D6FD9">
        <w:rPr>
          <w:b/>
          <w:bCs/>
          <w:lang w:val="en-US"/>
        </w:rPr>
        <w:t>8</w:t>
      </w:r>
      <w:r w:rsidR="00AD1882">
        <w:rPr>
          <w:b/>
          <w:bCs/>
          <w:lang w:val="en-US"/>
        </w:rPr>
        <w:t xml:space="preserve"> </w:t>
      </w:r>
      <w:r w:rsidR="00054B38" w:rsidRPr="0037639D">
        <w:rPr>
          <w:b/>
          <w:bCs/>
          <w:lang w:val="en-US"/>
        </w:rPr>
        <w:t>Coimbra Group Universities</w:t>
      </w:r>
      <w:r w:rsidR="00054B38">
        <w:rPr>
          <w:lang w:val="en-US"/>
        </w:rPr>
        <w:t xml:space="preserve">: </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0"/>
        <w:gridCol w:w="4386"/>
      </w:tblGrid>
      <w:tr w:rsidR="009F2185" w:rsidRPr="000D4092" w14:paraId="15050D78" w14:textId="052B2CF6" w:rsidTr="009F2185">
        <w:trPr>
          <w:trHeight w:hRule="exact" w:val="312"/>
        </w:trPr>
        <w:tc>
          <w:tcPr>
            <w:tcW w:w="4640" w:type="dxa"/>
            <w:noWrap/>
            <w:tcMar>
              <w:top w:w="0" w:type="dxa"/>
              <w:left w:w="108" w:type="dxa"/>
              <w:bottom w:w="0" w:type="dxa"/>
              <w:right w:w="108" w:type="dxa"/>
            </w:tcMar>
            <w:vAlign w:val="center"/>
            <w:hideMark/>
          </w:tcPr>
          <w:p w14:paraId="20E53A94" w14:textId="77777777" w:rsidR="009F2185" w:rsidRPr="000D4092" w:rsidRDefault="009F2185" w:rsidP="009F2185">
            <w:pPr>
              <w:rPr>
                <w:rFonts w:cstheme="minorHAnsi"/>
                <w:color w:val="000000"/>
                <w:lang w:eastAsia="en-GB"/>
              </w:rPr>
            </w:pPr>
            <w:r w:rsidRPr="000D4092">
              <w:rPr>
                <w:rFonts w:cstheme="minorHAnsi"/>
                <w:color w:val="000000"/>
                <w:lang w:eastAsia="en-GB"/>
              </w:rPr>
              <w:t>Aarhus University (DK)</w:t>
            </w:r>
          </w:p>
        </w:tc>
        <w:tc>
          <w:tcPr>
            <w:tcW w:w="4386" w:type="dxa"/>
            <w:vAlign w:val="center"/>
          </w:tcPr>
          <w:p w14:paraId="646884AD" w14:textId="488C6999" w:rsidR="009F2185" w:rsidRPr="000D4092" w:rsidRDefault="009F2185" w:rsidP="009F2185">
            <w:pPr>
              <w:rPr>
                <w:rFonts w:cstheme="minorHAnsi"/>
                <w:color w:val="000000"/>
                <w:lang w:eastAsia="en-GB"/>
              </w:rPr>
            </w:pPr>
            <w:r w:rsidRPr="000D4092">
              <w:rPr>
                <w:rFonts w:cstheme="minorHAnsi"/>
                <w:color w:val="000000"/>
                <w:lang w:eastAsia="en-GB"/>
              </w:rPr>
              <w:t>Alexandru Ioan Cuza University of Iaşi (RO)</w:t>
            </w:r>
          </w:p>
        </w:tc>
      </w:tr>
      <w:tr w:rsidR="009F2185" w:rsidRPr="00386147" w14:paraId="03BE12DC" w14:textId="046807A5" w:rsidTr="009F2185">
        <w:trPr>
          <w:trHeight w:hRule="exact" w:val="312"/>
        </w:trPr>
        <w:tc>
          <w:tcPr>
            <w:tcW w:w="4640" w:type="dxa"/>
            <w:noWrap/>
            <w:tcMar>
              <w:top w:w="0" w:type="dxa"/>
              <w:left w:w="108" w:type="dxa"/>
              <w:bottom w:w="0" w:type="dxa"/>
              <w:right w:w="108" w:type="dxa"/>
            </w:tcMar>
            <w:vAlign w:val="center"/>
            <w:hideMark/>
          </w:tcPr>
          <w:p w14:paraId="73D31448" w14:textId="77777777" w:rsidR="009F2185" w:rsidRPr="000D4092" w:rsidRDefault="009F2185" w:rsidP="009F2185">
            <w:pPr>
              <w:rPr>
                <w:rFonts w:cstheme="minorHAnsi"/>
                <w:color w:val="000000"/>
                <w:lang w:eastAsia="en-GB"/>
              </w:rPr>
            </w:pPr>
            <w:r w:rsidRPr="000D4092">
              <w:rPr>
                <w:rFonts w:cstheme="minorHAnsi"/>
                <w:color w:val="000000"/>
                <w:lang w:eastAsia="en-GB"/>
              </w:rPr>
              <w:t>Åbo Akademi University (FI)</w:t>
            </w:r>
          </w:p>
        </w:tc>
        <w:tc>
          <w:tcPr>
            <w:tcW w:w="4386" w:type="dxa"/>
            <w:vAlign w:val="center"/>
          </w:tcPr>
          <w:p w14:paraId="25FA02AF" w14:textId="4DBBE707" w:rsidR="009F2185" w:rsidRPr="00386147" w:rsidRDefault="009F2185" w:rsidP="009F2185">
            <w:pPr>
              <w:rPr>
                <w:rFonts w:cstheme="minorHAnsi"/>
                <w:color w:val="000000"/>
                <w:lang w:val="nl-NL" w:eastAsia="en-GB"/>
              </w:rPr>
            </w:pPr>
            <w:r w:rsidRPr="004178A1">
              <w:rPr>
                <w:rFonts w:cstheme="minorHAnsi"/>
                <w:color w:val="000000"/>
                <w:lang w:val="nl-NL" w:eastAsia="en-GB"/>
              </w:rPr>
              <w:t>Friedrich Schiller University Jena (DE)</w:t>
            </w:r>
          </w:p>
        </w:tc>
      </w:tr>
      <w:tr w:rsidR="009F2185" w:rsidRPr="000D4092" w14:paraId="3E189974" w14:textId="662A9978" w:rsidTr="009F2185">
        <w:trPr>
          <w:trHeight w:hRule="exact" w:val="312"/>
        </w:trPr>
        <w:tc>
          <w:tcPr>
            <w:tcW w:w="4640" w:type="dxa"/>
            <w:noWrap/>
            <w:tcMar>
              <w:top w:w="0" w:type="dxa"/>
              <w:left w:w="108" w:type="dxa"/>
              <w:bottom w:w="0" w:type="dxa"/>
              <w:right w:w="108" w:type="dxa"/>
            </w:tcMar>
            <w:vAlign w:val="center"/>
            <w:hideMark/>
          </w:tcPr>
          <w:p w14:paraId="71CF706A"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Barcelona (ES)</w:t>
            </w:r>
          </w:p>
        </w:tc>
        <w:tc>
          <w:tcPr>
            <w:tcW w:w="4386" w:type="dxa"/>
            <w:vAlign w:val="center"/>
          </w:tcPr>
          <w:p w14:paraId="0B4E839D" w14:textId="3C9AC638" w:rsidR="009F2185" w:rsidRPr="000D4092" w:rsidRDefault="009F2185" w:rsidP="009F2185">
            <w:pPr>
              <w:rPr>
                <w:rFonts w:cstheme="minorHAnsi"/>
                <w:color w:val="000000"/>
                <w:lang w:eastAsia="en-GB"/>
              </w:rPr>
            </w:pPr>
            <w:r w:rsidRPr="000D4092">
              <w:rPr>
                <w:rFonts w:cstheme="minorHAnsi"/>
                <w:color w:val="000000"/>
                <w:lang w:eastAsia="en-GB"/>
              </w:rPr>
              <w:t>Jagiellonian University in Kraków (PL)</w:t>
            </w:r>
          </w:p>
        </w:tc>
      </w:tr>
      <w:tr w:rsidR="009F2185" w:rsidRPr="000D4092" w14:paraId="4A62E54B" w14:textId="13824BE7" w:rsidTr="009F2185">
        <w:trPr>
          <w:trHeight w:hRule="exact" w:val="312"/>
        </w:trPr>
        <w:tc>
          <w:tcPr>
            <w:tcW w:w="4640" w:type="dxa"/>
            <w:noWrap/>
            <w:tcMar>
              <w:top w:w="0" w:type="dxa"/>
              <w:left w:w="108" w:type="dxa"/>
              <w:bottom w:w="0" w:type="dxa"/>
              <w:right w:w="108" w:type="dxa"/>
            </w:tcMar>
            <w:vAlign w:val="center"/>
            <w:hideMark/>
          </w:tcPr>
          <w:p w14:paraId="03FE35CE"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Bergen (NO)</w:t>
            </w:r>
          </w:p>
        </w:tc>
        <w:tc>
          <w:tcPr>
            <w:tcW w:w="4386" w:type="dxa"/>
            <w:vAlign w:val="center"/>
          </w:tcPr>
          <w:p w14:paraId="08A6884E" w14:textId="18B3218C" w:rsidR="009F2185" w:rsidRPr="000D4092" w:rsidRDefault="009F2185" w:rsidP="009F2185">
            <w:pPr>
              <w:rPr>
                <w:rFonts w:cstheme="minorHAnsi"/>
                <w:color w:val="000000"/>
                <w:lang w:eastAsia="en-GB"/>
              </w:rPr>
            </w:pPr>
            <w:r w:rsidRPr="000D4092">
              <w:rPr>
                <w:rFonts w:cstheme="minorHAnsi"/>
                <w:color w:val="000000"/>
                <w:lang w:eastAsia="en-GB"/>
              </w:rPr>
              <w:t>Leiden University (NL)</w:t>
            </w:r>
          </w:p>
        </w:tc>
      </w:tr>
      <w:tr w:rsidR="009F2185" w:rsidRPr="000D4092" w14:paraId="01AD0CD5" w14:textId="7D4A1FBF" w:rsidTr="009F2185">
        <w:trPr>
          <w:trHeight w:hRule="exact" w:val="312"/>
        </w:trPr>
        <w:tc>
          <w:tcPr>
            <w:tcW w:w="4640" w:type="dxa"/>
            <w:noWrap/>
            <w:tcMar>
              <w:top w:w="0" w:type="dxa"/>
              <w:left w:w="108" w:type="dxa"/>
              <w:bottom w:w="0" w:type="dxa"/>
              <w:right w:w="108" w:type="dxa"/>
            </w:tcMar>
            <w:vAlign w:val="center"/>
            <w:hideMark/>
          </w:tcPr>
          <w:p w14:paraId="4E21CC72"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Bristol (UK)</w:t>
            </w:r>
          </w:p>
        </w:tc>
        <w:tc>
          <w:tcPr>
            <w:tcW w:w="4386" w:type="dxa"/>
            <w:vAlign w:val="center"/>
          </w:tcPr>
          <w:p w14:paraId="1FB0D82D" w14:textId="2B1AAB1D" w:rsidR="009F2185" w:rsidRPr="000D4092" w:rsidRDefault="009F2185" w:rsidP="009F2185">
            <w:pPr>
              <w:rPr>
                <w:rFonts w:cstheme="minorHAnsi"/>
                <w:color w:val="000000"/>
                <w:lang w:eastAsia="en-GB"/>
              </w:rPr>
            </w:pPr>
            <w:bookmarkStart w:id="0" w:name="RANGE!B21"/>
            <w:r w:rsidRPr="000D4092">
              <w:rPr>
                <w:rFonts w:cstheme="minorHAnsi"/>
                <w:color w:val="000000"/>
                <w:lang w:eastAsia="en-GB"/>
              </w:rPr>
              <w:t>KU Leuven (BE)</w:t>
            </w:r>
            <w:bookmarkEnd w:id="0"/>
          </w:p>
        </w:tc>
      </w:tr>
      <w:tr w:rsidR="009F2185" w:rsidRPr="009F2185" w14:paraId="272EE722" w14:textId="31AD145E" w:rsidTr="009F2185">
        <w:trPr>
          <w:trHeight w:hRule="exact" w:val="312"/>
        </w:trPr>
        <w:tc>
          <w:tcPr>
            <w:tcW w:w="4640" w:type="dxa"/>
            <w:noWrap/>
            <w:tcMar>
              <w:top w:w="0" w:type="dxa"/>
              <w:left w:w="108" w:type="dxa"/>
              <w:bottom w:w="0" w:type="dxa"/>
              <w:right w:w="108" w:type="dxa"/>
            </w:tcMar>
            <w:vAlign w:val="center"/>
            <w:hideMark/>
          </w:tcPr>
          <w:p w14:paraId="1E470F9E"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Coimbra (PT)</w:t>
            </w:r>
          </w:p>
        </w:tc>
        <w:tc>
          <w:tcPr>
            <w:tcW w:w="4386" w:type="dxa"/>
            <w:vAlign w:val="center"/>
          </w:tcPr>
          <w:p w14:paraId="57F31CC2" w14:textId="3923344E" w:rsidR="009F2185" w:rsidRPr="009F2185" w:rsidRDefault="009F2185" w:rsidP="009F2185">
            <w:pPr>
              <w:rPr>
                <w:rFonts w:cstheme="minorHAnsi"/>
                <w:color w:val="000000"/>
                <w:lang w:val="fr-BE" w:eastAsia="en-GB"/>
              </w:rPr>
            </w:pPr>
            <w:r w:rsidRPr="000D4092">
              <w:rPr>
                <w:rFonts w:cstheme="minorHAnsi"/>
                <w:color w:val="000000"/>
                <w:lang w:val="fr-BE" w:eastAsia="en-GB"/>
              </w:rPr>
              <w:t>Université catholique de Louvain (BE)</w:t>
            </w:r>
          </w:p>
        </w:tc>
      </w:tr>
      <w:tr w:rsidR="009F2185" w:rsidRPr="000D4092" w14:paraId="20DAE317" w14:textId="45A8C8AF" w:rsidTr="009F2185">
        <w:trPr>
          <w:trHeight w:hRule="exact" w:val="312"/>
        </w:trPr>
        <w:tc>
          <w:tcPr>
            <w:tcW w:w="4640" w:type="dxa"/>
            <w:noWrap/>
            <w:tcMar>
              <w:top w:w="0" w:type="dxa"/>
              <w:left w:w="108" w:type="dxa"/>
              <w:bottom w:w="0" w:type="dxa"/>
              <w:right w:w="108" w:type="dxa"/>
            </w:tcMar>
            <w:vAlign w:val="center"/>
            <w:hideMark/>
          </w:tcPr>
          <w:p w14:paraId="54D595A6"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Cologne (DE)</w:t>
            </w:r>
          </w:p>
        </w:tc>
        <w:tc>
          <w:tcPr>
            <w:tcW w:w="4386" w:type="dxa"/>
            <w:vAlign w:val="center"/>
          </w:tcPr>
          <w:p w14:paraId="7727BEDB" w14:textId="169A53BA" w:rsidR="009F2185" w:rsidRPr="000D4092" w:rsidRDefault="009F2185" w:rsidP="009F2185">
            <w:pPr>
              <w:rPr>
                <w:rFonts w:cstheme="minorHAnsi"/>
                <w:color w:val="000000"/>
                <w:lang w:eastAsia="en-GB"/>
              </w:rPr>
            </w:pPr>
            <w:r w:rsidRPr="000D4092">
              <w:rPr>
                <w:rFonts w:cstheme="minorHAnsi"/>
                <w:color w:val="000000"/>
                <w:lang w:eastAsia="en-GB"/>
              </w:rPr>
              <w:t>University of Padova (IT)</w:t>
            </w:r>
          </w:p>
        </w:tc>
      </w:tr>
      <w:tr w:rsidR="009F2185" w:rsidRPr="000D4092" w14:paraId="2EC0A0D1" w14:textId="3C731E00" w:rsidTr="009F2185">
        <w:trPr>
          <w:trHeight w:hRule="exact" w:val="312"/>
        </w:trPr>
        <w:tc>
          <w:tcPr>
            <w:tcW w:w="4640" w:type="dxa"/>
            <w:noWrap/>
            <w:tcMar>
              <w:top w:w="0" w:type="dxa"/>
              <w:left w:w="108" w:type="dxa"/>
              <w:bottom w:w="0" w:type="dxa"/>
              <w:right w:w="108" w:type="dxa"/>
            </w:tcMar>
            <w:vAlign w:val="center"/>
            <w:hideMark/>
          </w:tcPr>
          <w:p w14:paraId="1837C656" w14:textId="77777777" w:rsidR="009F2185" w:rsidRPr="000D4092" w:rsidRDefault="009F2185" w:rsidP="009F2185">
            <w:pPr>
              <w:rPr>
                <w:rFonts w:cstheme="minorHAnsi"/>
                <w:color w:val="000000"/>
                <w:lang w:eastAsia="en-GB"/>
              </w:rPr>
            </w:pPr>
            <w:r w:rsidRPr="000D4092">
              <w:rPr>
                <w:rFonts w:cstheme="minorHAnsi"/>
                <w:color w:val="000000"/>
                <w:lang w:eastAsia="en-GB"/>
              </w:rPr>
              <w:t>Durham University (UK)</w:t>
            </w:r>
          </w:p>
        </w:tc>
        <w:tc>
          <w:tcPr>
            <w:tcW w:w="4386" w:type="dxa"/>
            <w:vAlign w:val="center"/>
          </w:tcPr>
          <w:p w14:paraId="2752A95D" w14:textId="398AD3AC" w:rsidR="009F2185" w:rsidRPr="000D4092" w:rsidRDefault="009F2185" w:rsidP="009F2185">
            <w:pPr>
              <w:rPr>
                <w:rFonts w:cstheme="minorHAnsi"/>
                <w:color w:val="000000"/>
                <w:lang w:eastAsia="en-GB"/>
              </w:rPr>
            </w:pPr>
            <w:r w:rsidRPr="000D4092">
              <w:rPr>
                <w:rFonts w:cstheme="minorHAnsi"/>
                <w:color w:val="000000"/>
                <w:lang w:eastAsia="en-GB"/>
              </w:rPr>
              <w:t>University of Pavia (IT)</w:t>
            </w:r>
          </w:p>
        </w:tc>
      </w:tr>
      <w:tr w:rsidR="009F2185" w:rsidRPr="000D4092" w14:paraId="00110F3C" w14:textId="1571F5F9" w:rsidTr="009F2185">
        <w:trPr>
          <w:trHeight w:hRule="exact" w:val="312"/>
        </w:trPr>
        <w:tc>
          <w:tcPr>
            <w:tcW w:w="4640" w:type="dxa"/>
            <w:noWrap/>
            <w:tcMar>
              <w:top w:w="0" w:type="dxa"/>
              <w:left w:w="108" w:type="dxa"/>
              <w:bottom w:w="0" w:type="dxa"/>
              <w:right w:w="108" w:type="dxa"/>
            </w:tcMar>
            <w:vAlign w:val="center"/>
            <w:hideMark/>
          </w:tcPr>
          <w:p w14:paraId="5365B657"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Edinburgh (UK)</w:t>
            </w:r>
          </w:p>
        </w:tc>
        <w:tc>
          <w:tcPr>
            <w:tcW w:w="4386" w:type="dxa"/>
            <w:vAlign w:val="center"/>
          </w:tcPr>
          <w:p w14:paraId="4FF60B87" w14:textId="1DE743CE" w:rsidR="009F2185" w:rsidRPr="000D4092" w:rsidRDefault="009F2185" w:rsidP="009F2185">
            <w:pPr>
              <w:rPr>
                <w:rFonts w:cstheme="minorHAnsi"/>
                <w:color w:val="000000"/>
                <w:lang w:eastAsia="en-GB"/>
              </w:rPr>
            </w:pPr>
            <w:r w:rsidRPr="000D4092">
              <w:rPr>
                <w:rFonts w:cstheme="minorHAnsi"/>
                <w:color w:val="000000"/>
                <w:lang w:eastAsia="en-GB"/>
              </w:rPr>
              <w:t>University of Poitiers (FR)</w:t>
            </w:r>
          </w:p>
        </w:tc>
      </w:tr>
      <w:tr w:rsidR="009F2185" w:rsidRPr="004178A1" w14:paraId="077305C7" w14:textId="010E9E1E" w:rsidTr="009F2185">
        <w:trPr>
          <w:trHeight w:hRule="exact" w:val="312"/>
        </w:trPr>
        <w:tc>
          <w:tcPr>
            <w:tcW w:w="4640" w:type="dxa"/>
            <w:noWrap/>
            <w:tcMar>
              <w:top w:w="0" w:type="dxa"/>
              <w:left w:w="108" w:type="dxa"/>
              <w:bottom w:w="0" w:type="dxa"/>
              <w:right w:w="108" w:type="dxa"/>
            </w:tcMar>
            <w:vAlign w:val="center"/>
            <w:hideMark/>
          </w:tcPr>
          <w:p w14:paraId="01E9F545" w14:textId="77777777" w:rsidR="009F2185" w:rsidRPr="004178A1" w:rsidRDefault="009F2185" w:rsidP="009F2185">
            <w:pPr>
              <w:rPr>
                <w:rFonts w:cstheme="minorHAnsi"/>
                <w:color w:val="000000"/>
                <w:lang w:val="nl-NL" w:eastAsia="en-GB"/>
              </w:rPr>
            </w:pPr>
            <w:r w:rsidRPr="000D4092">
              <w:rPr>
                <w:rFonts w:cstheme="minorHAnsi"/>
                <w:color w:val="000000"/>
                <w:lang w:val="de-DE" w:eastAsia="de-DE"/>
              </w:rPr>
              <w:t>Georg-August-Universität Göttingen (DE)</w:t>
            </w:r>
          </w:p>
        </w:tc>
        <w:tc>
          <w:tcPr>
            <w:tcW w:w="4386" w:type="dxa"/>
            <w:vAlign w:val="center"/>
          </w:tcPr>
          <w:p w14:paraId="28D4874B" w14:textId="4C20F2E7" w:rsidR="009F2185" w:rsidRPr="000D4092" w:rsidRDefault="009F2185" w:rsidP="009F2185">
            <w:pPr>
              <w:rPr>
                <w:rFonts w:cstheme="minorHAnsi"/>
                <w:color w:val="000000"/>
                <w:lang w:val="de-DE" w:eastAsia="de-DE"/>
              </w:rPr>
            </w:pPr>
            <w:r w:rsidRPr="000D4092">
              <w:rPr>
                <w:rFonts w:cstheme="minorHAnsi"/>
                <w:color w:val="000000"/>
                <w:lang w:eastAsia="en-GB"/>
              </w:rPr>
              <w:t>University of Siena (IT)</w:t>
            </w:r>
          </w:p>
        </w:tc>
      </w:tr>
      <w:tr w:rsidR="009F2185" w:rsidRPr="000D4092" w14:paraId="698009FC" w14:textId="7C4DCD33" w:rsidTr="009F2185">
        <w:trPr>
          <w:trHeight w:hRule="exact" w:val="312"/>
        </w:trPr>
        <w:tc>
          <w:tcPr>
            <w:tcW w:w="4640" w:type="dxa"/>
            <w:noWrap/>
            <w:tcMar>
              <w:top w:w="0" w:type="dxa"/>
              <w:left w:w="108" w:type="dxa"/>
              <w:bottom w:w="0" w:type="dxa"/>
              <w:right w:w="108" w:type="dxa"/>
            </w:tcMar>
            <w:vAlign w:val="center"/>
            <w:hideMark/>
          </w:tcPr>
          <w:p w14:paraId="4735796C"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Granada (ES)</w:t>
            </w:r>
          </w:p>
        </w:tc>
        <w:tc>
          <w:tcPr>
            <w:tcW w:w="4386" w:type="dxa"/>
            <w:vAlign w:val="center"/>
          </w:tcPr>
          <w:p w14:paraId="4FC60F91" w14:textId="20A3FF5F" w:rsidR="009F2185" w:rsidRPr="009F2185" w:rsidRDefault="009F2185" w:rsidP="009F2185">
            <w:pPr>
              <w:rPr>
                <w:color w:val="000000" w:themeColor="text1"/>
                <w:lang w:eastAsia="en-GB"/>
              </w:rPr>
            </w:pPr>
            <w:r w:rsidRPr="3ABCB01F">
              <w:rPr>
                <w:color w:val="000000" w:themeColor="text1"/>
                <w:lang w:eastAsia="en-GB"/>
              </w:rPr>
              <w:t>University of Tartu (EE)</w:t>
            </w:r>
          </w:p>
        </w:tc>
      </w:tr>
      <w:tr w:rsidR="009F2185" w:rsidRPr="000D4092" w14:paraId="3E3ADA36" w14:textId="5E9C85DC" w:rsidTr="009F2185">
        <w:trPr>
          <w:trHeight w:hRule="exact" w:val="312"/>
        </w:trPr>
        <w:tc>
          <w:tcPr>
            <w:tcW w:w="4640" w:type="dxa"/>
            <w:noWrap/>
            <w:tcMar>
              <w:top w:w="0" w:type="dxa"/>
              <w:left w:w="108" w:type="dxa"/>
              <w:bottom w:w="0" w:type="dxa"/>
              <w:right w:w="108" w:type="dxa"/>
            </w:tcMar>
            <w:vAlign w:val="center"/>
            <w:hideMark/>
          </w:tcPr>
          <w:p w14:paraId="16CFD569"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Graz (AT)</w:t>
            </w:r>
          </w:p>
        </w:tc>
        <w:tc>
          <w:tcPr>
            <w:tcW w:w="4386" w:type="dxa"/>
            <w:vAlign w:val="center"/>
          </w:tcPr>
          <w:p w14:paraId="35C830C6" w14:textId="00D5DCB1" w:rsidR="009F2185" w:rsidRPr="000D4092" w:rsidRDefault="009F2185" w:rsidP="009F2185">
            <w:pPr>
              <w:rPr>
                <w:rFonts w:cstheme="minorHAnsi"/>
                <w:color w:val="000000"/>
                <w:lang w:eastAsia="en-GB"/>
              </w:rPr>
            </w:pPr>
            <w:r w:rsidRPr="009F2185">
              <w:rPr>
                <w:rFonts w:cstheme="minorHAnsi"/>
                <w:color w:val="000000"/>
                <w:lang w:eastAsia="en-GB"/>
              </w:rPr>
              <w:t>University of Turku (FI)</w:t>
            </w:r>
          </w:p>
        </w:tc>
      </w:tr>
      <w:tr w:rsidR="009F2185" w:rsidRPr="000D4092" w14:paraId="0D84A0BD" w14:textId="71B5D753" w:rsidTr="009F2185">
        <w:trPr>
          <w:trHeight w:hRule="exact" w:val="312"/>
        </w:trPr>
        <w:tc>
          <w:tcPr>
            <w:tcW w:w="4640" w:type="dxa"/>
            <w:noWrap/>
            <w:tcMar>
              <w:top w:w="0" w:type="dxa"/>
              <w:left w:w="108" w:type="dxa"/>
              <w:bottom w:w="0" w:type="dxa"/>
              <w:right w:w="108" w:type="dxa"/>
            </w:tcMar>
            <w:vAlign w:val="center"/>
            <w:hideMark/>
          </w:tcPr>
          <w:p w14:paraId="02DDAEB9" w14:textId="77777777" w:rsidR="009F2185" w:rsidRPr="000D4092" w:rsidRDefault="009F2185" w:rsidP="009F2185">
            <w:pPr>
              <w:rPr>
                <w:rFonts w:cstheme="minorHAnsi"/>
                <w:color w:val="000000"/>
                <w:lang w:eastAsia="en-GB"/>
              </w:rPr>
            </w:pPr>
            <w:r w:rsidRPr="000D4092">
              <w:rPr>
                <w:rFonts w:cstheme="minorHAnsi"/>
                <w:color w:val="000000"/>
                <w:lang w:eastAsia="en-GB"/>
              </w:rPr>
              <w:t>University of Groningen (NL)</w:t>
            </w:r>
          </w:p>
        </w:tc>
        <w:tc>
          <w:tcPr>
            <w:tcW w:w="4386" w:type="dxa"/>
            <w:vAlign w:val="center"/>
          </w:tcPr>
          <w:p w14:paraId="681276E6" w14:textId="1ECD2E6F" w:rsidR="009F2185" w:rsidRPr="000D4092" w:rsidRDefault="009F2185" w:rsidP="009F2185">
            <w:pPr>
              <w:rPr>
                <w:rFonts w:cstheme="minorHAnsi"/>
                <w:color w:val="000000"/>
                <w:lang w:eastAsia="en-GB"/>
              </w:rPr>
            </w:pPr>
            <w:r w:rsidRPr="009F2185">
              <w:rPr>
                <w:rFonts w:cstheme="minorHAnsi"/>
                <w:color w:val="000000"/>
                <w:lang w:eastAsia="en-GB"/>
              </w:rPr>
              <w:t>Vilnius University (LT)</w:t>
            </w:r>
          </w:p>
        </w:tc>
      </w:tr>
      <w:tr w:rsidR="009F2185" w:rsidRPr="00386147" w14:paraId="30CC740B" w14:textId="539558CD" w:rsidTr="009F2185">
        <w:trPr>
          <w:trHeight w:hRule="exact" w:val="312"/>
        </w:trPr>
        <w:tc>
          <w:tcPr>
            <w:tcW w:w="4640" w:type="dxa"/>
            <w:noWrap/>
            <w:tcMar>
              <w:top w:w="0" w:type="dxa"/>
              <w:left w:w="108" w:type="dxa"/>
              <w:bottom w:w="0" w:type="dxa"/>
              <w:right w:w="108" w:type="dxa"/>
            </w:tcMar>
            <w:vAlign w:val="center"/>
            <w:hideMark/>
          </w:tcPr>
          <w:p w14:paraId="777DD11E" w14:textId="77777777" w:rsidR="009F2185" w:rsidRPr="000D4092" w:rsidRDefault="009F2185" w:rsidP="009F2185">
            <w:pPr>
              <w:rPr>
                <w:rFonts w:cstheme="minorHAnsi"/>
                <w:color w:val="000000"/>
                <w:lang w:eastAsia="en-GB"/>
              </w:rPr>
            </w:pPr>
            <w:r w:rsidRPr="000D4092">
              <w:rPr>
                <w:rFonts w:cstheme="minorHAnsi"/>
                <w:color w:val="000000"/>
                <w:lang w:eastAsia="en-GB"/>
              </w:rPr>
              <w:t>Heidelberg University (DE)</w:t>
            </w:r>
          </w:p>
        </w:tc>
        <w:tc>
          <w:tcPr>
            <w:tcW w:w="4386" w:type="dxa"/>
          </w:tcPr>
          <w:p w14:paraId="237CA5AA" w14:textId="733ADD83" w:rsidR="009F2185" w:rsidRPr="00386147" w:rsidRDefault="009F2185" w:rsidP="009F2185">
            <w:pPr>
              <w:rPr>
                <w:rFonts w:cstheme="minorHAnsi"/>
                <w:color w:val="000000"/>
                <w:lang w:val="nl-NL" w:eastAsia="en-GB"/>
              </w:rPr>
            </w:pPr>
            <w:r w:rsidRPr="00386147">
              <w:rPr>
                <w:rFonts w:cstheme="minorHAnsi"/>
                <w:color w:val="000000"/>
                <w:lang w:val="nl-NL" w:eastAsia="en-GB"/>
              </w:rPr>
              <w:t>Julius-Maximilian-Universität Würzburg (DE)</w:t>
            </w:r>
          </w:p>
        </w:tc>
      </w:tr>
    </w:tbl>
    <w:p w14:paraId="02164325" w14:textId="77777777" w:rsidR="009F2185" w:rsidRPr="00386147" w:rsidRDefault="009F2185" w:rsidP="00C35E68">
      <w:pPr>
        <w:shd w:val="clear" w:color="auto" w:fill="FFFFFF"/>
        <w:rPr>
          <w:lang w:val="nl-NL"/>
        </w:rPr>
      </w:pPr>
    </w:p>
    <w:p w14:paraId="2829FF56" w14:textId="455FAA54" w:rsidR="00054B38" w:rsidRPr="00ED4425" w:rsidRDefault="005338A7" w:rsidP="00C35E68">
      <w:pPr>
        <w:shd w:val="clear" w:color="auto" w:fill="FFFFFF"/>
      </w:pPr>
      <w:r w:rsidRPr="00ED4425">
        <w:t>When purchasing your Pass, we recommend that you use your University email address.</w:t>
      </w:r>
    </w:p>
    <w:tbl>
      <w:tblPr>
        <w:tblStyle w:val="TableGrid"/>
        <w:tblW w:w="0" w:type="auto"/>
        <w:shd w:val="clear" w:color="auto" w:fill="E2EFD9" w:themeFill="accent6" w:themeFillTint="33"/>
        <w:tblLook w:val="04A0" w:firstRow="1" w:lastRow="0" w:firstColumn="1" w:lastColumn="0" w:noHBand="0" w:noVBand="1"/>
      </w:tblPr>
      <w:tblGrid>
        <w:gridCol w:w="9016"/>
      </w:tblGrid>
      <w:tr w:rsidR="00F1117E" w14:paraId="0E02B38B" w14:textId="77777777" w:rsidTr="00F1117E">
        <w:tc>
          <w:tcPr>
            <w:tcW w:w="9016" w:type="dxa"/>
            <w:shd w:val="clear" w:color="auto" w:fill="E2EFD9" w:themeFill="accent6" w:themeFillTint="33"/>
          </w:tcPr>
          <w:p w14:paraId="00D1DC72" w14:textId="56F41EDE" w:rsidR="00F1117E" w:rsidRDefault="00456E68" w:rsidP="00F1117E">
            <w:pPr>
              <w:shd w:val="clear" w:color="auto" w:fill="FFFFFF"/>
              <w:rPr>
                <w:lang w:val="en-US"/>
              </w:rPr>
            </w:pPr>
            <w:r w:rsidRPr="00BF07D3">
              <w:rPr>
                <w:b/>
                <w:bCs/>
                <w:shd w:val="clear" w:color="auto" w:fill="E2EFD9" w:themeFill="accent6" w:themeFillTint="33"/>
                <w:lang w:val="en-US"/>
              </w:rPr>
              <w:t>(!)</w:t>
            </w:r>
            <w:r>
              <w:rPr>
                <w:lang w:val="en-US"/>
              </w:rPr>
              <w:t xml:space="preserve"> </w:t>
            </w:r>
            <w:r w:rsidR="00F1117E" w:rsidRPr="00F33D3B">
              <w:rPr>
                <w:lang w:val="en-US"/>
              </w:rPr>
              <w:t>Interrail Passes are personal and</w:t>
            </w:r>
            <w:r w:rsidR="00F1117E">
              <w:rPr>
                <w:lang w:val="en-US"/>
              </w:rPr>
              <w:t xml:space="preserve"> non-transferable. Eurail</w:t>
            </w:r>
            <w:r w:rsidR="00F1117E" w:rsidRPr="008C6267">
              <w:rPr>
                <w:lang w:val="en-US"/>
              </w:rPr>
              <w:t xml:space="preserve"> ask</w:t>
            </w:r>
            <w:r w:rsidR="00F1117E">
              <w:rPr>
                <w:lang w:val="en-US"/>
              </w:rPr>
              <w:t>s</w:t>
            </w:r>
            <w:r w:rsidR="00F1117E" w:rsidRPr="008C6267">
              <w:rPr>
                <w:lang w:val="en-US"/>
              </w:rPr>
              <w:t xml:space="preserve"> for your passport or ID number for safety and verification that the Pass you are travelling with is yours. You may be asked to show your passport or ID card when your Pass is being checked by ticket inspectors, so the number on your Pass should match the number on the passport or ID you are carrying.</w:t>
            </w:r>
            <w:r w:rsidR="00F1117E">
              <w:rPr>
                <w:lang w:val="en-US"/>
              </w:rPr>
              <w:t xml:space="preserve"> </w:t>
            </w:r>
            <w:r w:rsidR="00F1117E" w:rsidRPr="00BF07D3">
              <w:rPr>
                <w:b/>
                <w:bCs/>
                <w:shd w:val="clear" w:color="auto" w:fill="E2EFD9" w:themeFill="accent6" w:themeFillTint="33"/>
                <w:lang w:val="en-US"/>
              </w:rPr>
              <w:t xml:space="preserve">In case of fraud or unauthorized use of this promotion by non-eligible people, </w:t>
            </w:r>
            <w:r w:rsidR="00AD1882">
              <w:rPr>
                <w:b/>
                <w:bCs/>
                <w:shd w:val="clear" w:color="auto" w:fill="E2EFD9" w:themeFill="accent6" w:themeFillTint="33"/>
                <w:lang w:val="en-US"/>
              </w:rPr>
              <w:t xml:space="preserve">the </w:t>
            </w:r>
            <w:r w:rsidR="00F1117E" w:rsidRPr="00BF07D3">
              <w:rPr>
                <w:b/>
                <w:bCs/>
                <w:shd w:val="clear" w:color="auto" w:fill="E2EFD9" w:themeFill="accent6" w:themeFillTint="33"/>
                <w:lang w:val="en-US"/>
              </w:rPr>
              <w:t xml:space="preserve">Coimbra Group has authorized Eurail to </w:t>
            </w:r>
            <w:r w:rsidR="00AB4409" w:rsidRPr="00BF07D3">
              <w:rPr>
                <w:b/>
                <w:bCs/>
                <w:shd w:val="clear" w:color="auto" w:fill="E2EFD9" w:themeFill="accent6" w:themeFillTint="33"/>
                <w:lang w:val="en-US"/>
              </w:rPr>
              <w:t xml:space="preserve">immediately </w:t>
            </w:r>
            <w:r w:rsidR="00F1117E" w:rsidRPr="00BF07D3">
              <w:rPr>
                <w:b/>
                <w:bCs/>
                <w:shd w:val="clear" w:color="auto" w:fill="E2EFD9" w:themeFill="accent6" w:themeFillTint="33"/>
                <w:lang w:val="en-US"/>
              </w:rPr>
              <w:t xml:space="preserve">deactivate </w:t>
            </w:r>
            <w:r w:rsidRPr="00BF07D3">
              <w:rPr>
                <w:b/>
                <w:bCs/>
                <w:shd w:val="clear" w:color="auto" w:fill="E2EFD9" w:themeFill="accent6" w:themeFillTint="33"/>
                <w:lang w:val="en-US"/>
              </w:rPr>
              <w:t>such</w:t>
            </w:r>
            <w:r w:rsidR="00F1117E" w:rsidRPr="00BF07D3">
              <w:rPr>
                <w:b/>
                <w:bCs/>
                <w:shd w:val="clear" w:color="auto" w:fill="E2EFD9" w:themeFill="accent6" w:themeFillTint="33"/>
                <w:lang w:val="en-US"/>
              </w:rPr>
              <w:t xml:space="preserve"> pass</w:t>
            </w:r>
            <w:r w:rsidRPr="00BF07D3">
              <w:rPr>
                <w:b/>
                <w:bCs/>
                <w:shd w:val="clear" w:color="auto" w:fill="E2EFD9" w:themeFill="accent6" w:themeFillTint="33"/>
                <w:lang w:val="en-US"/>
              </w:rPr>
              <w:t>es</w:t>
            </w:r>
            <w:r w:rsidR="00F1117E" w:rsidRPr="00BF07D3">
              <w:rPr>
                <w:shd w:val="clear" w:color="auto" w:fill="E2EFD9" w:themeFill="accent6" w:themeFillTint="33"/>
                <w:lang w:val="en-US"/>
              </w:rPr>
              <w:t>.</w:t>
            </w:r>
          </w:p>
        </w:tc>
      </w:tr>
    </w:tbl>
    <w:p w14:paraId="532F62CC" w14:textId="77777777" w:rsidR="00F1117E" w:rsidRDefault="00F1117E" w:rsidP="00377578">
      <w:pPr>
        <w:shd w:val="clear" w:color="auto" w:fill="FFFFFF"/>
        <w:rPr>
          <w:b/>
          <w:bCs/>
          <w:color w:val="70AD47" w:themeColor="accent6"/>
          <w:lang w:val="en-US"/>
        </w:rPr>
      </w:pPr>
    </w:p>
    <w:p w14:paraId="2E5F8FC6" w14:textId="42F6C859" w:rsidR="00D016E3" w:rsidRPr="005B1AFC" w:rsidRDefault="004D5E13">
      <w:pPr>
        <w:rPr>
          <w:b/>
          <w:bCs/>
          <w:color w:val="70AD47" w:themeColor="accent6"/>
          <w:lang w:val="en-US"/>
        </w:rPr>
      </w:pPr>
      <w:r w:rsidRPr="005B1AFC">
        <w:rPr>
          <w:b/>
          <w:bCs/>
          <w:color w:val="70AD47" w:themeColor="accent6"/>
          <w:lang w:val="en-US"/>
        </w:rPr>
        <w:t>How and when can I purchase my Interrail Pass?</w:t>
      </w:r>
    </w:p>
    <w:p w14:paraId="63CA164E" w14:textId="64F08B89" w:rsidR="00AA639D" w:rsidRDefault="00AA639D" w:rsidP="004D5E13">
      <w:pPr>
        <w:rPr>
          <w:lang w:val="en-US"/>
        </w:rPr>
      </w:pPr>
      <w:r w:rsidRPr="3ABCB01F">
        <w:rPr>
          <w:lang w:val="en-US"/>
        </w:rPr>
        <w:t>Passes can be purchased online</w:t>
      </w:r>
      <w:r w:rsidR="00C35E68" w:rsidRPr="3ABCB01F">
        <w:rPr>
          <w:lang w:val="en-US"/>
        </w:rPr>
        <w:t xml:space="preserve"> on</w:t>
      </w:r>
      <w:r w:rsidR="00A3631C" w:rsidRPr="3ABCB01F">
        <w:rPr>
          <w:lang w:val="en-US"/>
        </w:rPr>
        <w:t xml:space="preserve"> the dedicated landing page</w:t>
      </w:r>
      <w:r w:rsidR="00EF693F" w:rsidRPr="3ABCB01F">
        <w:rPr>
          <w:lang w:val="en-US"/>
        </w:rPr>
        <w:t xml:space="preserve"> </w:t>
      </w:r>
      <w:hyperlink r:id="rId15">
        <w:r w:rsidR="00AC3738" w:rsidRPr="3ABCB01F">
          <w:rPr>
            <w:rStyle w:val="Hyperlink"/>
            <w:lang w:val="en-US"/>
          </w:rPr>
          <w:t>https://www.interrail.eu/en/coimbra-group</w:t>
        </w:r>
      </w:hyperlink>
      <w:r w:rsidR="00EF693F" w:rsidRPr="3ABCB01F">
        <w:rPr>
          <w:lang w:val="en-US"/>
        </w:rPr>
        <w:t xml:space="preserve"> </w:t>
      </w:r>
      <w:r w:rsidR="00EF693F" w:rsidRPr="3ABCB01F">
        <w:rPr>
          <w:b/>
          <w:bCs/>
          <w:lang w:val="en-US"/>
        </w:rPr>
        <w:t>between August 24</w:t>
      </w:r>
      <w:r w:rsidR="00EF693F" w:rsidRPr="3ABCB01F">
        <w:rPr>
          <w:b/>
          <w:bCs/>
          <w:vertAlign w:val="superscript"/>
          <w:lang w:val="en-US"/>
        </w:rPr>
        <w:t>th</w:t>
      </w:r>
      <w:r w:rsidR="00EF693F" w:rsidRPr="3ABCB01F">
        <w:rPr>
          <w:b/>
          <w:bCs/>
          <w:lang w:val="en-US"/>
        </w:rPr>
        <w:t xml:space="preserve"> and </w:t>
      </w:r>
      <w:r w:rsidR="00EF693F" w:rsidRPr="3ABCB01F">
        <w:rPr>
          <w:b/>
          <w:bCs/>
          <w:u w:val="single"/>
          <w:lang w:val="en-US"/>
        </w:rPr>
        <w:t xml:space="preserve">September </w:t>
      </w:r>
      <w:r w:rsidR="68D7A6EC" w:rsidRPr="3ABCB01F">
        <w:rPr>
          <w:b/>
          <w:bCs/>
          <w:u w:val="single"/>
          <w:lang w:val="en-US"/>
        </w:rPr>
        <w:t>19</w:t>
      </w:r>
      <w:r w:rsidR="00EF693F" w:rsidRPr="3ABCB01F">
        <w:rPr>
          <w:b/>
          <w:bCs/>
          <w:u w:val="single"/>
          <w:vertAlign w:val="superscript"/>
          <w:lang w:val="en-US"/>
        </w:rPr>
        <w:t>th</w:t>
      </w:r>
      <w:r w:rsidR="005338A7" w:rsidRPr="3ABCB01F">
        <w:rPr>
          <w:lang w:val="en-US"/>
        </w:rPr>
        <w:t>, 2021.</w:t>
      </w:r>
      <w:r w:rsidR="00EF693F" w:rsidRPr="3ABCB01F">
        <w:rPr>
          <w:lang w:val="en-US"/>
        </w:rPr>
        <w:t xml:space="preserve"> </w:t>
      </w:r>
    </w:p>
    <w:p w14:paraId="3EC15890" w14:textId="571B64ED" w:rsidR="004178A1" w:rsidRDefault="004178A1" w:rsidP="3ABCB01F">
      <w:pPr>
        <w:shd w:val="clear" w:color="auto" w:fill="FFFFFF" w:themeFill="background1"/>
      </w:pPr>
      <w:r>
        <w:t>When purchasing your Pass, we recommend that you use your University email address.</w:t>
      </w:r>
    </w:p>
    <w:p w14:paraId="76C058D7" w14:textId="77777777" w:rsidR="004178A1" w:rsidRPr="00D744B1" w:rsidRDefault="004178A1" w:rsidP="004178A1">
      <w:pPr>
        <w:shd w:val="clear" w:color="auto" w:fill="FFFFFF"/>
        <w:rPr>
          <w:b/>
          <w:bCs/>
          <w:color w:val="70AD47" w:themeColor="accent6"/>
          <w:lang w:val="en-US"/>
        </w:rPr>
      </w:pPr>
      <w:r w:rsidRPr="00D744B1">
        <w:rPr>
          <w:b/>
          <w:bCs/>
          <w:color w:val="70AD47" w:themeColor="accent6"/>
          <w:lang w:val="en-US"/>
        </w:rPr>
        <w:t>Am I eligible for additional financial aids</w:t>
      </w:r>
      <w:r>
        <w:rPr>
          <w:b/>
          <w:bCs/>
          <w:color w:val="70AD47" w:themeColor="accent6"/>
          <w:lang w:val="en-US"/>
        </w:rPr>
        <w:t xml:space="preserve"> if I purchase an Interrail Pass</w:t>
      </w:r>
      <w:r w:rsidRPr="00D744B1">
        <w:rPr>
          <w:b/>
          <w:bCs/>
          <w:color w:val="70AD47" w:themeColor="accent6"/>
          <w:lang w:val="en-US"/>
        </w:rPr>
        <w:t>?</w:t>
      </w:r>
    </w:p>
    <w:p w14:paraId="4C1D3507" w14:textId="77777777" w:rsidR="004178A1" w:rsidRPr="00F11109" w:rsidRDefault="004178A1" w:rsidP="004178A1">
      <w:pPr>
        <w:shd w:val="clear" w:color="auto" w:fill="FFFFFF"/>
        <w:rPr>
          <w:lang w:val="en-US"/>
        </w:rPr>
      </w:pPr>
      <w:r>
        <w:rPr>
          <w:lang w:val="en-US"/>
        </w:rPr>
        <w:t>You should ask the International Office of your home university. As an example, i</w:t>
      </w:r>
      <w:r w:rsidRPr="009B3A70">
        <w:rPr>
          <w:lang w:val="en-US"/>
        </w:rPr>
        <w:t>n the Erasmus+ programme guide for 2021 different financial aids are mentioned if a participant decides for a green mean of transport (e.g. railway) to get to the host country.</w:t>
      </w:r>
      <w:r>
        <w:rPr>
          <w:lang w:val="en-US"/>
        </w:rPr>
        <w:t xml:space="preserve"> Among other things, </w:t>
      </w:r>
      <w:r w:rsidRPr="00AA639D">
        <w:rPr>
          <w:lang w:val="en-US"/>
        </w:rPr>
        <w:t>f</w:t>
      </w:r>
      <w:r w:rsidRPr="009B3A70">
        <w:rPr>
          <w:lang w:val="en-US"/>
        </w:rPr>
        <w:t>or the average Era</w:t>
      </w:r>
      <w:r>
        <w:rPr>
          <w:lang w:val="en-US"/>
        </w:rPr>
        <w:t>s</w:t>
      </w:r>
      <w:r w:rsidRPr="009B3A70">
        <w:rPr>
          <w:lang w:val="en-US"/>
        </w:rPr>
        <w:t>mus+ exchange student</w:t>
      </w:r>
      <w:r w:rsidRPr="009B3A70">
        <w:rPr>
          <w:b/>
          <w:bCs/>
          <w:lang w:val="en-US"/>
        </w:rPr>
        <w:t xml:space="preserve"> a one-time top-up of €50,00 is offered in case they choose a sustainable means of transport</w:t>
      </w:r>
      <w:r w:rsidRPr="009B3A70">
        <w:rPr>
          <w:lang w:val="en-US"/>
        </w:rPr>
        <w:t xml:space="preserve">. </w:t>
      </w:r>
      <w:r w:rsidRPr="008B6E9F">
        <w:rPr>
          <w:b/>
          <w:bCs/>
          <w:lang w:val="en-US"/>
        </w:rPr>
        <w:t xml:space="preserve">Participants who would like to purchase an Interrail Pass for their travels are eligible for this additional funding, on top of the discount rates offered by Eurail. </w:t>
      </w:r>
      <w:r w:rsidRPr="00F734B5">
        <w:rPr>
          <w:lang w:val="en-US"/>
        </w:rPr>
        <w:t xml:space="preserve">More information can be found here: </w:t>
      </w:r>
      <w:hyperlink r:id="rId16" w:history="1">
        <w:r w:rsidRPr="00415755">
          <w:rPr>
            <w:rStyle w:val="Hyperlink"/>
            <w:lang w:val="en-US"/>
          </w:rPr>
          <w:t>https://ec.europa.eu/programmes/erasmus-plus/resources/programme-guide_en</w:t>
        </w:r>
      </w:hyperlink>
      <w:r>
        <w:rPr>
          <w:lang w:val="en-US"/>
        </w:rPr>
        <w:t xml:space="preserve">. </w:t>
      </w:r>
    </w:p>
    <w:p w14:paraId="2000C480" w14:textId="77777777" w:rsidR="00D43331" w:rsidRPr="008421CE" w:rsidRDefault="00D43331" w:rsidP="00D43331">
      <w:pPr>
        <w:rPr>
          <w:b/>
          <w:bCs/>
          <w:color w:val="70AD47" w:themeColor="accent6"/>
          <w:lang w:val="en-US"/>
        </w:rPr>
      </w:pPr>
      <w:r w:rsidRPr="008421CE">
        <w:rPr>
          <w:b/>
          <w:bCs/>
          <w:color w:val="70AD47" w:themeColor="accent6"/>
          <w:lang w:val="en-US"/>
        </w:rPr>
        <w:t>Still in doubt?</w:t>
      </w:r>
    </w:p>
    <w:p w14:paraId="1E0873EF" w14:textId="09911241" w:rsidR="00D43331" w:rsidRPr="00D43331" w:rsidRDefault="00D43331" w:rsidP="00D43331">
      <w:pPr>
        <w:rPr>
          <w:lang w:val="en-US"/>
        </w:rPr>
      </w:pPr>
      <w:r>
        <w:rPr>
          <w:lang w:val="en-US"/>
        </w:rPr>
        <w:t>If you are l</w:t>
      </w:r>
      <w:r w:rsidRPr="00D43331">
        <w:rPr>
          <w:lang w:val="en-US"/>
        </w:rPr>
        <w:t xml:space="preserve">ooking for </w:t>
      </w:r>
      <w:r>
        <w:rPr>
          <w:lang w:val="en-US"/>
        </w:rPr>
        <w:t xml:space="preserve">additional </w:t>
      </w:r>
      <w:r w:rsidRPr="00D43331">
        <w:rPr>
          <w:lang w:val="en-US"/>
        </w:rPr>
        <w:t xml:space="preserve">information </w:t>
      </w:r>
      <w:r>
        <w:rPr>
          <w:lang w:val="en-US"/>
        </w:rPr>
        <w:t>on the Interrail Pass</w:t>
      </w:r>
      <w:r w:rsidR="00584B67">
        <w:rPr>
          <w:lang w:val="en-US"/>
        </w:rPr>
        <w:t xml:space="preserve">, </w:t>
      </w:r>
      <w:r w:rsidR="008421CE">
        <w:rPr>
          <w:lang w:val="en-US"/>
        </w:rPr>
        <w:t xml:space="preserve">please check the Interrail Pass support page: </w:t>
      </w:r>
      <w:hyperlink r:id="rId17" w:history="1">
        <w:r w:rsidR="008421CE" w:rsidRPr="00415755">
          <w:rPr>
            <w:rStyle w:val="Hyperlink"/>
            <w:lang w:val="en-US"/>
          </w:rPr>
          <w:t>https://www.interrail.eu/en/support</w:t>
        </w:r>
      </w:hyperlink>
      <w:r w:rsidR="008421CE">
        <w:rPr>
          <w:lang w:val="en-US"/>
        </w:rPr>
        <w:t xml:space="preserve">. </w:t>
      </w:r>
    </w:p>
    <w:p w14:paraId="768D7C35" w14:textId="3BFF43F2" w:rsidR="0088205B" w:rsidRPr="0088205B" w:rsidRDefault="000B2685">
      <w:pPr>
        <w:rPr>
          <w:lang w:val="en-US"/>
        </w:rPr>
      </w:pPr>
      <w:r>
        <w:rPr>
          <w:lang w:val="en-US"/>
        </w:rPr>
        <w:t>If you have trouble</w:t>
      </w:r>
      <w:r w:rsidR="00AC3738">
        <w:rPr>
          <w:lang w:val="en-US"/>
        </w:rPr>
        <w:t>s</w:t>
      </w:r>
      <w:r>
        <w:rPr>
          <w:lang w:val="en-US"/>
        </w:rPr>
        <w:t xml:space="preserve"> accessing the landing page</w:t>
      </w:r>
      <w:r w:rsidR="008421CE">
        <w:rPr>
          <w:lang w:val="en-US"/>
        </w:rPr>
        <w:t xml:space="preserve"> during the booking window (</w:t>
      </w:r>
      <w:r w:rsidR="008421CE" w:rsidRPr="004D5E13">
        <w:rPr>
          <w:lang w:val="en-US"/>
        </w:rPr>
        <w:t>August 24</w:t>
      </w:r>
      <w:r w:rsidR="008421CE" w:rsidRPr="004D5E13">
        <w:rPr>
          <w:vertAlign w:val="superscript"/>
          <w:lang w:val="en-US"/>
        </w:rPr>
        <w:t>th</w:t>
      </w:r>
      <w:r w:rsidR="008421CE" w:rsidRPr="004D5E13">
        <w:rPr>
          <w:lang w:val="en-US"/>
        </w:rPr>
        <w:t xml:space="preserve"> </w:t>
      </w:r>
      <w:r w:rsidR="00E744AC">
        <w:rPr>
          <w:lang w:val="en-US"/>
        </w:rPr>
        <w:t>through</w:t>
      </w:r>
      <w:r w:rsidR="008421CE" w:rsidRPr="004D5E13">
        <w:rPr>
          <w:lang w:val="en-US"/>
        </w:rPr>
        <w:t xml:space="preserve"> </w:t>
      </w:r>
      <w:r w:rsidR="006D6FD9" w:rsidRPr="3ABCB01F">
        <w:rPr>
          <w:b/>
          <w:bCs/>
          <w:u w:val="single"/>
          <w:lang w:val="en-US"/>
        </w:rPr>
        <w:t>September 19</w:t>
      </w:r>
      <w:r w:rsidR="006D6FD9" w:rsidRPr="3ABCB01F">
        <w:rPr>
          <w:b/>
          <w:bCs/>
          <w:u w:val="single"/>
          <w:vertAlign w:val="superscript"/>
          <w:lang w:val="en-US"/>
        </w:rPr>
        <w:t>th</w:t>
      </w:r>
      <w:r w:rsidR="005338A7">
        <w:rPr>
          <w:lang w:val="en-US"/>
        </w:rPr>
        <w:t>, 2021</w:t>
      </w:r>
      <w:r w:rsidR="00593703">
        <w:rPr>
          <w:lang w:val="en-US"/>
        </w:rPr>
        <w:t xml:space="preserve">) </w:t>
      </w:r>
      <w:r>
        <w:rPr>
          <w:lang w:val="en-US"/>
        </w:rPr>
        <w:t>please contact</w:t>
      </w:r>
      <w:r w:rsidR="00570446">
        <w:rPr>
          <w:lang w:val="en-US"/>
        </w:rPr>
        <w:t xml:space="preserve"> </w:t>
      </w:r>
      <w:hyperlink r:id="rId18" w:history="1">
        <w:r w:rsidR="00570446" w:rsidRPr="00C11314">
          <w:rPr>
            <w:rStyle w:val="Hyperlink"/>
            <w:lang w:val="en-US"/>
          </w:rPr>
          <w:t>b2i@eurail.com</w:t>
        </w:r>
      </w:hyperlink>
      <w:r w:rsidR="00593703">
        <w:rPr>
          <w:lang w:val="en-US"/>
        </w:rPr>
        <w:t>.</w:t>
      </w:r>
    </w:p>
    <w:sectPr w:rsidR="0088205B" w:rsidRPr="0088205B" w:rsidSect="004009A2">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9B"/>
    <w:multiLevelType w:val="hybridMultilevel"/>
    <w:tmpl w:val="77E03F8A"/>
    <w:lvl w:ilvl="0" w:tplc="FA309688">
      <w:start w:val="1"/>
      <w:numFmt w:val="bullet"/>
      <w:lvlText w:val="•"/>
      <w:lvlJc w:val="left"/>
      <w:pPr>
        <w:tabs>
          <w:tab w:val="num" w:pos="720"/>
        </w:tabs>
        <w:ind w:left="720" w:hanging="360"/>
      </w:pPr>
      <w:rPr>
        <w:rFonts w:ascii="Arial" w:hAnsi="Arial" w:hint="default"/>
      </w:rPr>
    </w:lvl>
    <w:lvl w:ilvl="1" w:tplc="5524A526" w:tentative="1">
      <w:start w:val="1"/>
      <w:numFmt w:val="bullet"/>
      <w:lvlText w:val="•"/>
      <w:lvlJc w:val="left"/>
      <w:pPr>
        <w:tabs>
          <w:tab w:val="num" w:pos="1440"/>
        </w:tabs>
        <w:ind w:left="1440" w:hanging="360"/>
      </w:pPr>
      <w:rPr>
        <w:rFonts w:ascii="Arial" w:hAnsi="Arial" w:hint="default"/>
      </w:rPr>
    </w:lvl>
    <w:lvl w:ilvl="2" w:tplc="48DC840C" w:tentative="1">
      <w:start w:val="1"/>
      <w:numFmt w:val="bullet"/>
      <w:lvlText w:val="•"/>
      <w:lvlJc w:val="left"/>
      <w:pPr>
        <w:tabs>
          <w:tab w:val="num" w:pos="2160"/>
        </w:tabs>
        <w:ind w:left="2160" w:hanging="360"/>
      </w:pPr>
      <w:rPr>
        <w:rFonts w:ascii="Arial" w:hAnsi="Arial" w:hint="default"/>
      </w:rPr>
    </w:lvl>
    <w:lvl w:ilvl="3" w:tplc="34F4E3C8" w:tentative="1">
      <w:start w:val="1"/>
      <w:numFmt w:val="bullet"/>
      <w:lvlText w:val="•"/>
      <w:lvlJc w:val="left"/>
      <w:pPr>
        <w:tabs>
          <w:tab w:val="num" w:pos="2880"/>
        </w:tabs>
        <w:ind w:left="2880" w:hanging="360"/>
      </w:pPr>
      <w:rPr>
        <w:rFonts w:ascii="Arial" w:hAnsi="Arial" w:hint="default"/>
      </w:rPr>
    </w:lvl>
    <w:lvl w:ilvl="4" w:tplc="1FFA1606" w:tentative="1">
      <w:start w:val="1"/>
      <w:numFmt w:val="bullet"/>
      <w:lvlText w:val="•"/>
      <w:lvlJc w:val="left"/>
      <w:pPr>
        <w:tabs>
          <w:tab w:val="num" w:pos="3600"/>
        </w:tabs>
        <w:ind w:left="3600" w:hanging="360"/>
      </w:pPr>
      <w:rPr>
        <w:rFonts w:ascii="Arial" w:hAnsi="Arial" w:hint="default"/>
      </w:rPr>
    </w:lvl>
    <w:lvl w:ilvl="5" w:tplc="4358F75C" w:tentative="1">
      <w:start w:val="1"/>
      <w:numFmt w:val="bullet"/>
      <w:lvlText w:val="•"/>
      <w:lvlJc w:val="left"/>
      <w:pPr>
        <w:tabs>
          <w:tab w:val="num" w:pos="4320"/>
        </w:tabs>
        <w:ind w:left="4320" w:hanging="360"/>
      </w:pPr>
      <w:rPr>
        <w:rFonts w:ascii="Arial" w:hAnsi="Arial" w:hint="default"/>
      </w:rPr>
    </w:lvl>
    <w:lvl w:ilvl="6" w:tplc="481272A6" w:tentative="1">
      <w:start w:val="1"/>
      <w:numFmt w:val="bullet"/>
      <w:lvlText w:val="•"/>
      <w:lvlJc w:val="left"/>
      <w:pPr>
        <w:tabs>
          <w:tab w:val="num" w:pos="5040"/>
        </w:tabs>
        <w:ind w:left="5040" w:hanging="360"/>
      </w:pPr>
      <w:rPr>
        <w:rFonts w:ascii="Arial" w:hAnsi="Arial" w:hint="default"/>
      </w:rPr>
    </w:lvl>
    <w:lvl w:ilvl="7" w:tplc="C952ED52" w:tentative="1">
      <w:start w:val="1"/>
      <w:numFmt w:val="bullet"/>
      <w:lvlText w:val="•"/>
      <w:lvlJc w:val="left"/>
      <w:pPr>
        <w:tabs>
          <w:tab w:val="num" w:pos="5760"/>
        </w:tabs>
        <w:ind w:left="5760" w:hanging="360"/>
      </w:pPr>
      <w:rPr>
        <w:rFonts w:ascii="Arial" w:hAnsi="Arial" w:hint="default"/>
      </w:rPr>
    </w:lvl>
    <w:lvl w:ilvl="8" w:tplc="F2FAE0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851B9"/>
    <w:multiLevelType w:val="hybridMultilevel"/>
    <w:tmpl w:val="F1DC2514"/>
    <w:lvl w:ilvl="0" w:tplc="6B7021FA">
      <w:start w:val="32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0E4F32"/>
    <w:multiLevelType w:val="multilevel"/>
    <w:tmpl w:val="E5B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460B1"/>
    <w:multiLevelType w:val="hybridMultilevel"/>
    <w:tmpl w:val="5784F4B4"/>
    <w:lvl w:ilvl="0" w:tplc="38B25C9C">
      <w:start w:val="1"/>
      <w:numFmt w:val="decimal"/>
      <w:lvlText w:val="%1-"/>
      <w:lvlJc w:val="left"/>
      <w:pPr>
        <w:ind w:left="720" w:hanging="360"/>
      </w:pPr>
      <w:rPr>
        <w:rFonts w:asciiTheme="minorHAnsi" w:hAnsiTheme="minorHAnsi" w:cstheme="minorBid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604F7C"/>
    <w:multiLevelType w:val="hybridMultilevel"/>
    <w:tmpl w:val="49C8CFAC"/>
    <w:lvl w:ilvl="0" w:tplc="856CEB02">
      <w:start w:val="1"/>
      <w:numFmt w:val="decimal"/>
      <w:lvlText w:val="%1"/>
      <w:lvlJc w:val="left"/>
      <w:pPr>
        <w:ind w:left="1080" w:hanging="360"/>
      </w:pPr>
      <w:rPr>
        <w:rFonts w:asciiTheme="minorHAnsi" w:hAnsiTheme="minorHAnsi" w:cstheme="minorBidi"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9193B82"/>
    <w:multiLevelType w:val="hybridMultilevel"/>
    <w:tmpl w:val="1DB85F10"/>
    <w:lvl w:ilvl="0" w:tplc="C130C8DC">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1DC5F88"/>
    <w:multiLevelType w:val="hybridMultilevel"/>
    <w:tmpl w:val="66F65D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C5210F"/>
    <w:multiLevelType w:val="hybridMultilevel"/>
    <w:tmpl w:val="9C4EE38C"/>
    <w:lvl w:ilvl="0" w:tplc="168E9F7A">
      <w:start w:val="1"/>
      <w:numFmt w:val="bullet"/>
      <w:lvlText w:val=""/>
      <w:lvlJc w:val="left"/>
      <w:pPr>
        <w:ind w:left="720" w:hanging="360"/>
      </w:pPr>
      <w:rPr>
        <w:rFonts w:ascii="Wingdings" w:hAnsi="Wingdings" w:hint="default"/>
        <w:color w:val="70AD47" w:themeColor="accent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3122C8"/>
    <w:multiLevelType w:val="multilevel"/>
    <w:tmpl w:val="F7E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5B"/>
    <w:rsid w:val="00013806"/>
    <w:rsid w:val="00054B38"/>
    <w:rsid w:val="00082DC9"/>
    <w:rsid w:val="00086705"/>
    <w:rsid w:val="000B2685"/>
    <w:rsid w:val="000B6614"/>
    <w:rsid w:val="000C2F9C"/>
    <w:rsid w:val="000D4092"/>
    <w:rsid w:val="000D4532"/>
    <w:rsid w:val="00102AEE"/>
    <w:rsid w:val="001330C5"/>
    <w:rsid w:val="001A16BF"/>
    <w:rsid w:val="001B2722"/>
    <w:rsid w:val="0024287C"/>
    <w:rsid w:val="00253D47"/>
    <w:rsid w:val="0026723A"/>
    <w:rsid w:val="00277A76"/>
    <w:rsid w:val="00287678"/>
    <w:rsid w:val="002A59BE"/>
    <w:rsid w:val="002B7493"/>
    <w:rsid w:val="003246D5"/>
    <w:rsid w:val="0037639D"/>
    <w:rsid w:val="00377578"/>
    <w:rsid w:val="00386147"/>
    <w:rsid w:val="003C2666"/>
    <w:rsid w:val="003D7DE4"/>
    <w:rsid w:val="003F4C0E"/>
    <w:rsid w:val="004009A2"/>
    <w:rsid w:val="00402040"/>
    <w:rsid w:val="004040EF"/>
    <w:rsid w:val="004178A1"/>
    <w:rsid w:val="00456E68"/>
    <w:rsid w:val="00463C43"/>
    <w:rsid w:val="00480793"/>
    <w:rsid w:val="0049246D"/>
    <w:rsid w:val="004D5E13"/>
    <w:rsid w:val="004F2428"/>
    <w:rsid w:val="005025F9"/>
    <w:rsid w:val="00530BD5"/>
    <w:rsid w:val="005338A7"/>
    <w:rsid w:val="00570446"/>
    <w:rsid w:val="00584B67"/>
    <w:rsid w:val="0059099B"/>
    <w:rsid w:val="00593703"/>
    <w:rsid w:val="005B0627"/>
    <w:rsid w:val="005B1AFC"/>
    <w:rsid w:val="005E1E5A"/>
    <w:rsid w:val="005E39EC"/>
    <w:rsid w:val="005F78BF"/>
    <w:rsid w:val="00651EE3"/>
    <w:rsid w:val="0065578D"/>
    <w:rsid w:val="006754DA"/>
    <w:rsid w:val="00692781"/>
    <w:rsid w:val="00697BEC"/>
    <w:rsid w:val="006D6FD9"/>
    <w:rsid w:val="00736756"/>
    <w:rsid w:val="00745533"/>
    <w:rsid w:val="00775728"/>
    <w:rsid w:val="00783674"/>
    <w:rsid w:val="007B2EBD"/>
    <w:rsid w:val="007E0E93"/>
    <w:rsid w:val="00823FC8"/>
    <w:rsid w:val="00837C8C"/>
    <w:rsid w:val="008421CE"/>
    <w:rsid w:val="00866FD1"/>
    <w:rsid w:val="008819F2"/>
    <w:rsid w:val="0088205B"/>
    <w:rsid w:val="00890216"/>
    <w:rsid w:val="008B6E9F"/>
    <w:rsid w:val="008C6267"/>
    <w:rsid w:val="00927091"/>
    <w:rsid w:val="009809FB"/>
    <w:rsid w:val="009908CC"/>
    <w:rsid w:val="009B3A70"/>
    <w:rsid w:val="009F086F"/>
    <w:rsid w:val="009F2185"/>
    <w:rsid w:val="009F39FD"/>
    <w:rsid w:val="00A15EEB"/>
    <w:rsid w:val="00A332CB"/>
    <w:rsid w:val="00A3631C"/>
    <w:rsid w:val="00A6168B"/>
    <w:rsid w:val="00A63A9A"/>
    <w:rsid w:val="00A66B40"/>
    <w:rsid w:val="00A743FC"/>
    <w:rsid w:val="00A837CE"/>
    <w:rsid w:val="00AA639D"/>
    <w:rsid w:val="00AB4409"/>
    <w:rsid w:val="00AC3738"/>
    <w:rsid w:val="00AD1882"/>
    <w:rsid w:val="00AE7B62"/>
    <w:rsid w:val="00B25C67"/>
    <w:rsid w:val="00B4313A"/>
    <w:rsid w:val="00B50ED3"/>
    <w:rsid w:val="00B76BAC"/>
    <w:rsid w:val="00B82F22"/>
    <w:rsid w:val="00BD5A96"/>
    <w:rsid w:val="00BF07D3"/>
    <w:rsid w:val="00BF643B"/>
    <w:rsid w:val="00C22DA9"/>
    <w:rsid w:val="00C326E4"/>
    <w:rsid w:val="00C35E68"/>
    <w:rsid w:val="00C42C12"/>
    <w:rsid w:val="00C84DEA"/>
    <w:rsid w:val="00CA39AE"/>
    <w:rsid w:val="00CC44E2"/>
    <w:rsid w:val="00CE7787"/>
    <w:rsid w:val="00D016E3"/>
    <w:rsid w:val="00D21D55"/>
    <w:rsid w:val="00D43331"/>
    <w:rsid w:val="00D62C7F"/>
    <w:rsid w:val="00D744B1"/>
    <w:rsid w:val="00DC5507"/>
    <w:rsid w:val="00DF279F"/>
    <w:rsid w:val="00E0757C"/>
    <w:rsid w:val="00E30822"/>
    <w:rsid w:val="00E41E65"/>
    <w:rsid w:val="00E569EE"/>
    <w:rsid w:val="00E744AC"/>
    <w:rsid w:val="00ED4425"/>
    <w:rsid w:val="00EF533A"/>
    <w:rsid w:val="00EF693F"/>
    <w:rsid w:val="00EF7B78"/>
    <w:rsid w:val="00F11109"/>
    <w:rsid w:val="00F1117E"/>
    <w:rsid w:val="00F33D3B"/>
    <w:rsid w:val="00F50626"/>
    <w:rsid w:val="00F67D07"/>
    <w:rsid w:val="00F734B5"/>
    <w:rsid w:val="00F749B4"/>
    <w:rsid w:val="00F83013"/>
    <w:rsid w:val="00FE288F"/>
    <w:rsid w:val="00FF607C"/>
    <w:rsid w:val="00FF7E9E"/>
    <w:rsid w:val="0509AB24"/>
    <w:rsid w:val="088513E5"/>
    <w:rsid w:val="08C8DBE4"/>
    <w:rsid w:val="0AD0DF3A"/>
    <w:rsid w:val="0B83FA9E"/>
    <w:rsid w:val="0C164B04"/>
    <w:rsid w:val="0E48EDFC"/>
    <w:rsid w:val="10486C54"/>
    <w:rsid w:val="1780C8DC"/>
    <w:rsid w:val="18FE0076"/>
    <w:rsid w:val="19E2053A"/>
    <w:rsid w:val="1D481155"/>
    <w:rsid w:val="23764AE8"/>
    <w:rsid w:val="23CFCE2E"/>
    <w:rsid w:val="2EF71A00"/>
    <w:rsid w:val="2FE1E8CC"/>
    <w:rsid w:val="35C3FC2F"/>
    <w:rsid w:val="36B2D49D"/>
    <w:rsid w:val="36CBFCFA"/>
    <w:rsid w:val="3ABCB01F"/>
    <w:rsid w:val="3C84B7C5"/>
    <w:rsid w:val="3D24A5D7"/>
    <w:rsid w:val="3E11C9F2"/>
    <w:rsid w:val="3E92AF68"/>
    <w:rsid w:val="3EC07638"/>
    <w:rsid w:val="4321B910"/>
    <w:rsid w:val="4C902C7D"/>
    <w:rsid w:val="4D30E4D8"/>
    <w:rsid w:val="508F7633"/>
    <w:rsid w:val="576296D0"/>
    <w:rsid w:val="59558728"/>
    <w:rsid w:val="6195178B"/>
    <w:rsid w:val="64A1BB9B"/>
    <w:rsid w:val="67D7C817"/>
    <w:rsid w:val="68D7A6EC"/>
    <w:rsid w:val="69739878"/>
    <w:rsid w:val="6CB53270"/>
    <w:rsid w:val="6E6850EA"/>
    <w:rsid w:val="70C823A4"/>
    <w:rsid w:val="71032DE7"/>
    <w:rsid w:val="7173E3A2"/>
    <w:rsid w:val="721279F3"/>
    <w:rsid w:val="7263F405"/>
    <w:rsid w:val="72A3EFB5"/>
    <w:rsid w:val="75244469"/>
    <w:rsid w:val="76E77F3A"/>
    <w:rsid w:val="78E86C6F"/>
    <w:rsid w:val="79455CCB"/>
    <w:rsid w:val="7E48EF8D"/>
    <w:rsid w:val="7F37C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49A3"/>
  <w15:chartTrackingRefBased/>
  <w15:docId w15:val="{42492F85-2FC5-46B6-B684-98F8F6B2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3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685"/>
    <w:rPr>
      <w:color w:val="0563C1" w:themeColor="hyperlink"/>
      <w:u w:val="single"/>
    </w:rPr>
  </w:style>
  <w:style w:type="character" w:styleId="UnresolvedMention">
    <w:name w:val="Unresolved Mention"/>
    <w:basedOn w:val="DefaultParagraphFont"/>
    <w:uiPriority w:val="99"/>
    <w:semiHidden/>
    <w:unhideWhenUsed/>
    <w:rsid w:val="000B2685"/>
    <w:rPr>
      <w:color w:val="605E5C"/>
      <w:shd w:val="clear" w:color="auto" w:fill="E1DFDD"/>
    </w:rPr>
  </w:style>
  <w:style w:type="paragraph" w:styleId="ListParagraph">
    <w:name w:val="List Paragraph"/>
    <w:basedOn w:val="Normal"/>
    <w:uiPriority w:val="34"/>
    <w:qFormat/>
    <w:rsid w:val="001A16BF"/>
    <w:pPr>
      <w:ind w:left="720"/>
      <w:contextualSpacing/>
    </w:pPr>
  </w:style>
  <w:style w:type="character" w:styleId="Emphasis">
    <w:name w:val="Emphasis"/>
    <w:basedOn w:val="DefaultParagraphFont"/>
    <w:uiPriority w:val="20"/>
    <w:qFormat/>
    <w:rsid w:val="00B4313A"/>
    <w:rPr>
      <w:i/>
      <w:iCs/>
    </w:rPr>
  </w:style>
  <w:style w:type="paragraph" w:styleId="NormalWeb">
    <w:name w:val="Normal (Web)"/>
    <w:basedOn w:val="Normal"/>
    <w:uiPriority w:val="99"/>
    <w:semiHidden/>
    <w:unhideWhenUsed/>
    <w:rsid w:val="007B2E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B50E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B50E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D4333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D1882"/>
    <w:rPr>
      <w:color w:val="954F72" w:themeColor="followedHyperlink"/>
      <w:u w:val="single"/>
    </w:rPr>
  </w:style>
  <w:style w:type="paragraph" w:styleId="BalloonText">
    <w:name w:val="Balloon Text"/>
    <w:basedOn w:val="Normal"/>
    <w:link w:val="BalloonTextChar"/>
    <w:uiPriority w:val="99"/>
    <w:semiHidden/>
    <w:unhideWhenUsed/>
    <w:rsid w:val="00417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533">
      <w:bodyDiv w:val="1"/>
      <w:marLeft w:val="0"/>
      <w:marRight w:val="0"/>
      <w:marTop w:val="0"/>
      <w:marBottom w:val="0"/>
      <w:divBdr>
        <w:top w:val="none" w:sz="0" w:space="0" w:color="auto"/>
        <w:left w:val="none" w:sz="0" w:space="0" w:color="auto"/>
        <w:bottom w:val="none" w:sz="0" w:space="0" w:color="auto"/>
        <w:right w:val="none" w:sz="0" w:space="0" w:color="auto"/>
      </w:divBdr>
    </w:div>
    <w:div w:id="631332017">
      <w:bodyDiv w:val="1"/>
      <w:marLeft w:val="0"/>
      <w:marRight w:val="0"/>
      <w:marTop w:val="0"/>
      <w:marBottom w:val="0"/>
      <w:divBdr>
        <w:top w:val="none" w:sz="0" w:space="0" w:color="auto"/>
        <w:left w:val="none" w:sz="0" w:space="0" w:color="auto"/>
        <w:bottom w:val="none" w:sz="0" w:space="0" w:color="auto"/>
        <w:right w:val="none" w:sz="0" w:space="0" w:color="auto"/>
      </w:divBdr>
      <w:divsChild>
        <w:div w:id="1397892480">
          <w:marLeft w:val="706"/>
          <w:marRight w:val="0"/>
          <w:marTop w:val="120"/>
          <w:marBottom w:val="120"/>
          <w:divBdr>
            <w:top w:val="none" w:sz="0" w:space="0" w:color="auto"/>
            <w:left w:val="none" w:sz="0" w:space="0" w:color="auto"/>
            <w:bottom w:val="none" w:sz="0" w:space="0" w:color="auto"/>
            <w:right w:val="none" w:sz="0" w:space="0" w:color="auto"/>
          </w:divBdr>
        </w:div>
        <w:div w:id="1759016283">
          <w:marLeft w:val="706"/>
          <w:marRight w:val="0"/>
          <w:marTop w:val="120"/>
          <w:marBottom w:val="120"/>
          <w:divBdr>
            <w:top w:val="none" w:sz="0" w:space="0" w:color="auto"/>
            <w:left w:val="none" w:sz="0" w:space="0" w:color="auto"/>
            <w:bottom w:val="none" w:sz="0" w:space="0" w:color="auto"/>
            <w:right w:val="none" w:sz="0" w:space="0" w:color="auto"/>
          </w:divBdr>
        </w:div>
        <w:div w:id="1931814405">
          <w:marLeft w:val="706"/>
          <w:marRight w:val="0"/>
          <w:marTop w:val="120"/>
          <w:marBottom w:val="120"/>
          <w:divBdr>
            <w:top w:val="none" w:sz="0" w:space="0" w:color="auto"/>
            <w:left w:val="none" w:sz="0" w:space="0" w:color="auto"/>
            <w:bottom w:val="none" w:sz="0" w:space="0" w:color="auto"/>
            <w:right w:val="none" w:sz="0" w:space="0" w:color="auto"/>
          </w:divBdr>
        </w:div>
      </w:divsChild>
    </w:div>
    <w:div w:id="678191769">
      <w:bodyDiv w:val="1"/>
      <w:marLeft w:val="0"/>
      <w:marRight w:val="0"/>
      <w:marTop w:val="0"/>
      <w:marBottom w:val="0"/>
      <w:divBdr>
        <w:top w:val="none" w:sz="0" w:space="0" w:color="auto"/>
        <w:left w:val="none" w:sz="0" w:space="0" w:color="auto"/>
        <w:bottom w:val="none" w:sz="0" w:space="0" w:color="auto"/>
        <w:right w:val="none" w:sz="0" w:space="0" w:color="auto"/>
      </w:divBdr>
    </w:div>
    <w:div w:id="980774088">
      <w:bodyDiv w:val="1"/>
      <w:marLeft w:val="0"/>
      <w:marRight w:val="0"/>
      <w:marTop w:val="0"/>
      <w:marBottom w:val="0"/>
      <w:divBdr>
        <w:top w:val="none" w:sz="0" w:space="0" w:color="auto"/>
        <w:left w:val="none" w:sz="0" w:space="0" w:color="auto"/>
        <w:bottom w:val="none" w:sz="0" w:space="0" w:color="auto"/>
        <w:right w:val="none" w:sz="0" w:space="0" w:color="auto"/>
      </w:divBdr>
    </w:div>
    <w:div w:id="1087267555">
      <w:bodyDiv w:val="1"/>
      <w:marLeft w:val="0"/>
      <w:marRight w:val="0"/>
      <w:marTop w:val="0"/>
      <w:marBottom w:val="0"/>
      <w:divBdr>
        <w:top w:val="none" w:sz="0" w:space="0" w:color="auto"/>
        <w:left w:val="none" w:sz="0" w:space="0" w:color="auto"/>
        <w:bottom w:val="none" w:sz="0" w:space="0" w:color="auto"/>
        <w:right w:val="none" w:sz="0" w:space="0" w:color="auto"/>
      </w:divBdr>
      <w:divsChild>
        <w:div w:id="483858144">
          <w:marLeft w:val="0"/>
          <w:marRight w:val="0"/>
          <w:marTop w:val="0"/>
          <w:marBottom w:val="0"/>
          <w:divBdr>
            <w:top w:val="none" w:sz="0" w:space="0" w:color="auto"/>
            <w:left w:val="none" w:sz="0" w:space="0" w:color="auto"/>
            <w:bottom w:val="none" w:sz="0" w:space="0" w:color="auto"/>
            <w:right w:val="none" w:sz="0" w:space="0" w:color="auto"/>
          </w:divBdr>
        </w:div>
        <w:div w:id="1830368991">
          <w:marLeft w:val="0"/>
          <w:marRight w:val="0"/>
          <w:marTop w:val="0"/>
          <w:marBottom w:val="0"/>
          <w:divBdr>
            <w:top w:val="none" w:sz="0" w:space="0" w:color="auto"/>
            <w:left w:val="none" w:sz="0" w:space="0" w:color="auto"/>
            <w:bottom w:val="none" w:sz="0" w:space="0" w:color="auto"/>
            <w:right w:val="none" w:sz="0" w:space="0" w:color="auto"/>
          </w:divBdr>
          <w:divsChild>
            <w:div w:id="730613247">
              <w:marLeft w:val="0"/>
              <w:marRight w:val="0"/>
              <w:marTop w:val="0"/>
              <w:marBottom w:val="0"/>
              <w:divBdr>
                <w:top w:val="none" w:sz="0" w:space="0" w:color="auto"/>
                <w:left w:val="none" w:sz="0" w:space="0" w:color="auto"/>
                <w:bottom w:val="none" w:sz="0" w:space="0" w:color="auto"/>
                <w:right w:val="none" w:sz="0" w:space="0" w:color="auto"/>
              </w:divBdr>
            </w:div>
          </w:divsChild>
        </w:div>
        <w:div w:id="629287747">
          <w:marLeft w:val="0"/>
          <w:marRight w:val="0"/>
          <w:marTop w:val="0"/>
          <w:marBottom w:val="0"/>
          <w:divBdr>
            <w:top w:val="none" w:sz="0" w:space="0" w:color="auto"/>
            <w:left w:val="none" w:sz="0" w:space="0" w:color="auto"/>
            <w:bottom w:val="none" w:sz="0" w:space="0" w:color="auto"/>
            <w:right w:val="none" w:sz="0" w:space="0" w:color="auto"/>
          </w:divBdr>
        </w:div>
        <w:div w:id="745609019">
          <w:marLeft w:val="0"/>
          <w:marRight w:val="0"/>
          <w:marTop w:val="0"/>
          <w:marBottom w:val="0"/>
          <w:divBdr>
            <w:top w:val="none" w:sz="0" w:space="0" w:color="auto"/>
            <w:left w:val="none" w:sz="0" w:space="0" w:color="auto"/>
            <w:bottom w:val="none" w:sz="0" w:space="0" w:color="auto"/>
            <w:right w:val="none" w:sz="0" w:space="0" w:color="auto"/>
          </w:divBdr>
        </w:div>
      </w:divsChild>
    </w:div>
    <w:div w:id="1299651319">
      <w:bodyDiv w:val="1"/>
      <w:marLeft w:val="0"/>
      <w:marRight w:val="0"/>
      <w:marTop w:val="0"/>
      <w:marBottom w:val="0"/>
      <w:divBdr>
        <w:top w:val="none" w:sz="0" w:space="0" w:color="auto"/>
        <w:left w:val="none" w:sz="0" w:space="0" w:color="auto"/>
        <w:bottom w:val="none" w:sz="0" w:space="0" w:color="auto"/>
        <w:right w:val="none" w:sz="0" w:space="0" w:color="auto"/>
      </w:divBdr>
      <w:divsChild>
        <w:div w:id="1228568490">
          <w:marLeft w:val="0"/>
          <w:marRight w:val="0"/>
          <w:marTop w:val="0"/>
          <w:marBottom w:val="450"/>
          <w:divBdr>
            <w:top w:val="none" w:sz="0" w:space="0" w:color="auto"/>
            <w:left w:val="none" w:sz="0" w:space="0" w:color="auto"/>
            <w:bottom w:val="none" w:sz="0" w:space="0" w:color="auto"/>
            <w:right w:val="none" w:sz="0" w:space="0" w:color="auto"/>
          </w:divBdr>
          <w:divsChild>
            <w:div w:id="2014452263">
              <w:marLeft w:val="0"/>
              <w:marRight w:val="0"/>
              <w:marTop w:val="0"/>
              <w:marBottom w:val="0"/>
              <w:divBdr>
                <w:top w:val="none" w:sz="0" w:space="0" w:color="auto"/>
                <w:left w:val="none" w:sz="0" w:space="0" w:color="auto"/>
                <w:bottom w:val="none" w:sz="0" w:space="0" w:color="auto"/>
                <w:right w:val="none" w:sz="0" w:space="0" w:color="auto"/>
              </w:divBdr>
              <w:divsChild>
                <w:div w:id="1891578106">
                  <w:marLeft w:val="0"/>
                  <w:marRight w:val="0"/>
                  <w:marTop w:val="0"/>
                  <w:marBottom w:val="0"/>
                  <w:divBdr>
                    <w:top w:val="none" w:sz="0" w:space="0" w:color="auto"/>
                    <w:left w:val="none" w:sz="0" w:space="0" w:color="auto"/>
                    <w:bottom w:val="none" w:sz="0" w:space="0" w:color="auto"/>
                    <w:right w:val="none" w:sz="0" w:space="0" w:color="auto"/>
                  </w:divBdr>
                  <w:divsChild>
                    <w:div w:id="1496646125">
                      <w:marLeft w:val="0"/>
                      <w:marRight w:val="0"/>
                      <w:marTop w:val="0"/>
                      <w:marBottom w:val="0"/>
                      <w:divBdr>
                        <w:top w:val="none" w:sz="0" w:space="0" w:color="auto"/>
                        <w:left w:val="none" w:sz="0" w:space="0" w:color="auto"/>
                        <w:bottom w:val="none" w:sz="0" w:space="0" w:color="auto"/>
                        <w:right w:val="none" w:sz="0" w:space="0" w:color="auto"/>
                      </w:divBdr>
                      <w:divsChild>
                        <w:div w:id="18103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28634">
      <w:bodyDiv w:val="1"/>
      <w:marLeft w:val="0"/>
      <w:marRight w:val="0"/>
      <w:marTop w:val="0"/>
      <w:marBottom w:val="0"/>
      <w:divBdr>
        <w:top w:val="none" w:sz="0" w:space="0" w:color="auto"/>
        <w:left w:val="none" w:sz="0" w:space="0" w:color="auto"/>
        <w:bottom w:val="none" w:sz="0" w:space="0" w:color="auto"/>
        <w:right w:val="none" w:sz="0" w:space="0" w:color="auto"/>
      </w:divBdr>
    </w:div>
    <w:div w:id="1677340711">
      <w:bodyDiv w:val="1"/>
      <w:marLeft w:val="0"/>
      <w:marRight w:val="0"/>
      <w:marTop w:val="0"/>
      <w:marBottom w:val="0"/>
      <w:divBdr>
        <w:top w:val="none" w:sz="0" w:space="0" w:color="auto"/>
        <w:left w:val="none" w:sz="0" w:space="0" w:color="auto"/>
        <w:bottom w:val="none" w:sz="0" w:space="0" w:color="auto"/>
        <w:right w:val="none" w:sz="0" w:space="0" w:color="auto"/>
      </w:divBdr>
    </w:div>
    <w:div w:id="1715546999">
      <w:bodyDiv w:val="1"/>
      <w:marLeft w:val="0"/>
      <w:marRight w:val="0"/>
      <w:marTop w:val="0"/>
      <w:marBottom w:val="0"/>
      <w:divBdr>
        <w:top w:val="none" w:sz="0" w:space="0" w:color="auto"/>
        <w:left w:val="none" w:sz="0" w:space="0" w:color="auto"/>
        <w:bottom w:val="none" w:sz="0" w:space="0" w:color="auto"/>
        <w:right w:val="none" w:sz="0" w:space="0" w:color="auto"/>
      </w:divBdr>
      <w:divsChild>
        <w:div w:id="16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mbra-group.eu/" TargetMode="External"/><Relationship Id="rId13" Type="http://schemas.openxmlformats.org/officeDocument/2006/relationships/hyperlink" Target="https://www.interrail.eu/en/plan-your-trip/trains-europe" TargetMode="External"/><Relationship Id="rId18" Type="http://schemas.openxmlformats.org/officeDocument/2006/relationships/hyperlink" Target="mailto:b2i@eur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terrail.eu/en/trip-ideas" TargetMode="External"/><Relationship Id="rId17" Type="http://schemas.openxmlformats.org/officeDocument/2006/relationships/hyperlink" Target="https://www.interrail.eu/en/support" TargetMode="External"/><Relationship Id="rId2" Type="http://schemas.openxmlformats.org/officeDocument/2006/relationships/customXml" Target="../customXml/item2.xml"/><Relationship Id="rId16" Type="http://schemas.openxmlformats.org/officeDocument/2006/relationships/hyperlink" Target="https://ec.europa.eu/programmes/erasmus-plus/resources/programme-guide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rail.eu/en/plan-your-trip/trains-europe/night-trains" TargetMode="External"/><Relationship Id="rId5" Type="http://schemas.openxmlformats.org/officeDocument/2006/relationships/styles" Target="styles.xml"/><Relationship Id="rId15" Type="http://schemas.openxmlformats.org/officeDocument/2006/relationships/hyperlink" Target="https://www.interrail.eu/en/coimbra-group" TargetMode="External"/><Relationship Id="rId10" Type="http://schemas.openxmlformats.org/officeDocument/2006/relationships/hyperlink" Target="https://www.interrail.eu/en/plan-your-trip/interrail-railway-ma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rail.eu/en/interrail-passes" TargetMode="External"/><Relationship Id="rId14" Type="http://schemas.openxmlformats.org/officeDocument/2006/relationships/hyperlink" Target="https://www.interrail.eu/en/plan-your-trip/re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D4E0EFE4C740A47FD33B12DDB61B" ma:contentTypeVersion="12" ma:contentTypeDescription="Create a new document." ma:contentTypeScope="" ma:versionID="e7ed2ac5d9c4628747531dc656543548">
  <xsd:schema xmlns:xsd="http://www.w3.org/2001/XMLSchema" xmlns:xs="http://www.w3.org/2001/XMLSchema" xmlns:p="http://schemas.microsoft.com/office/2006/metadata/properties" xmlns:ns2="50e4c480-6d58-4d64-8d9e-bcc6eaf7400a" xmlns:ns3="6b410766-aad5-4140-acec-f64d7c2b57db" targetNamespace="http://schemas.microsoft.com/office/2006/metadata/properties" ma:root="true" ma:fieldsID="5809b6a36933417360ae886de60e504d" ns2:_="" ns3:_="">
    <xsd:import namespace="50e4c480-6d58-4d64-8d9e-bcc6eaf7400a"/>
    <xsd:import namespace="6b410766-aad5-4140-acec-f64d7c2b57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4c480-6d58-4d64-8d9e-bcc6eaf74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10766-aad5-4140-acec-f64d7c2b57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410766-aad5-4140-acec-f64d7c2b57db">
      <UserInfo>
        <DisplayName>Ellie Kingswell</DisplayName>
        <AccountId>56</AccountId>
        <AccountType/>
      </UserInfo>
    </SharedWithUsers>
  </documentManagement>
</p:properties>
</file>

<file path=customXml/itemProps1.xml><?xml version="1.0" encoding="utf-8"?>
<ds:datastoreItem xmlns:ds="http://schemas.openxmlformats.org/officeDocument/2006/customXml" ds:itemID="{6002D8EB-5AB3-422C-A76B-913AD3116D0C}">
  <ds:schemaRefs>
    <ds:schemaRef ds:uri="http://schemas.microsoft.com/sharepoint/v3/contenttype/forms"/>
  </ds:schemaRefs>
</ds:datastoreItem>
</file>

<file path=customXml/itemProps2.xml><?xml version="1.0" encoding="utf-8"?>
<ds:datastoreItem xmlns:ds="http://schemas.openxmlformats.org/officeDocument/2006/customXml" ds:itemID="{5FD26CAE-6DDC-4A60-A205-0E2DDA7E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4c480-6d58-4d64-8d9e-bcc6eaf7400a"/>
    <ds:schemaRef ds:uri="6b410766-aad5-4140-acec-f64d7c2b5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04E05-BC56-4523-95E0-1224820DDCF9}">
  <ds:schemaRefs>
    <ds:schemaRef ds:uri="http://schemas.microsoft.com/office/2006/metadata/properties"/>
    <ds:schemaRef ds:uri="http://schemas.microsoft.com/office/infopath/2007/PartnerControls"/>
    <ds:schemaRef ds:uri="6b410766-aad5-4140-acec-f64d7c2b57db"/>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1041</Words>
  <Characters>5730</Characters>
  <Application>Microsoft Office Word</Application>
  <DocSecurity>0</DocSecurity>
  <Lines>47</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Clerici</dc:creator>
  <cp:keywords/>
  <dc:description/>
  <cp:lastModifiedBy>Tom Medici</cp:lastModifiedBy>
  <cp:revision>7</cp:revision>
  <dcterms:created xsi:type="dcterms:W3CDTF">2021-09-08T15:05:00Z</dcterms:created>
  <dcterms:modified xsi:type="dcterms:W3CDTF">2021-09-09T07:34:00Z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0x010100142FD4E0EFE4C740A47FD33B12DDB61B</vt:lpwstr>
  </property>
  <property fmtid="{D5CDD505-2E9C-101B-9397-08002B2CF9AE}" pid="3" name="ComplianceAssetId">
    <vt:lpwstr/>
  </property>
  <property fmtid="{D5CDD505-2E9C-101B-9397-08002B2CF9AE}" pid="4" name="_ExtendedDescription">
    <vt:lpwstr/>
  </property>
</Properties>
</file>