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0B1F87">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2E48EC">
              <w:rPr>
                <w:strike/>
                <w:sz w:val="22"/>
              </w:rPr>
              <w:t xml:space="preserve"> </w:t>
            </w:r>
            <w:r w:rsidRPr="002E48EC">
              <w:rPr>
                <w:sz w:val="22"/>
              </w:rPr>
              <w:t>(rezidentų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3.5. papildomi aukštosios mokyklos įsipareigojimai – </w:t>
            </w:r>
            <w:r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w:t>
            </w:r>
            <w:r w:rsidRPr="002E48EC">
              <w:rPr>
                <w:sz w:val="22"/>
              </w:rPr>
              <w:lastRenderedPageBreak/>
              <w:t>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6.8. papildomi studento įsipareigojimai – </w:t>
            </w:r>
            <w:r w:rsidRPr="002E48EC">
              <w:rPr>
                <w:sz w:val="22"/>
              </w:rPr>
              <w:tab/>
              <w:t>.</w:t>
            </w:r>
          </w:p>
          <w:p w:rsidR="00ED12EE"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BAIGIAMOSIOS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7. Ši sutartis gali būti pakeista tik rašytiniu visų šalių susitarimu. Sutarties pakeitimai yra neatsiejama šios sutarties dalis.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8. Ši sutartis gali būti nutraukiama: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8.1. jei studentas pašalinamas iš aukštosios mokyklos, nutraukia studijas arba jam suteikiamos akademinės atostogos;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8.2. jei viena iš sutarties šalių pažeidžia šioje sutartyje nustatytus įsipareigojimus;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8.3. šalių susitarimu.</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9. Sutarties šalis praneša kitoms sutarties šalims apie sutarties nutraukimą ne vėliau kaip prieš _______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10.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11.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12.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Header"/>
              <w:ind w:left="175"/>
              <w:rPr>
                <w:sz w:val="22"/>
                <w:lang w:val="en-GB"/>
              </w:rPr>
            </w:pPr>
            <w:r w:rsidRPr="002E48EC">
              <w:rPr>
                <w:sz w:val="22"/>
                <w:lang w:val="en-GB"/>
              </w:rPr>
              <w:lastRenderedPageBreak/>
              <w:t xml:space="preserve">APPROVED </w:t>
            </w:r>
          </w:p>
          <w:p w:rsidR="00ED12EE" w:rsidRPr="002E48EC" w:rsidRDefault="00ED12EE" w:rsidP="000B1F87">
            <w:pPr>
              <w:pStyle w:val="Header"/>
              <w:ind w:left="175"/>
              <w:rPr>
                <w:sz w:val="22"/>
                <w:lang w:val="en-GB"/>
              </w:rPr>
            </w:pPr>
            <w:r w:rsidRPr="002E48EC">
              <w:rPr>
                <w:sz w:val="22"/>
                <w:lang w:val="en-GB"/>
              </w:rPr>
              <w:t xml:space="preserve">by the Ministry of Education and Science </w:t>
            </w:r>
          </w:p>
          <w:p w:rsidR="00ED12EE" w:rsidRPr="002E48EC" w:rsidRDefault="00ED12EE" w:rsidP="000B1F87">
            <w:pPr>
              <w:pStyle w:val="Header"/>
              <w:ind w:left="175"/>
              <w:rPr>
                <w:sz w:val="22"/>
                <w:lang w:val="en-GB"/>
              </w:rPr>
            </w:pPr>
            <w:r w:rsidRPr="002E48EC">
              <w:rPr>
                <w:sz w:val="22"/>
                <w:lang w:val="en-GB"/>
              </w:rPr>
              <w:t>of the Republic of Lithuania</w:t>
            </w:r>
          </w:p>
          <w:p w:rsidR="00ED12EE" w:rsidRPr="002E48EC" w:rsidRDefault="00ED12EE" w:rsidP="000B1F87">
            <w:pPr>
              <w:pStyle w:val="Header"/>
              <w:ind w:left="175"/>
              <w:rPr>
                <w:sz w:val="22"/>
                <w:lang w:val="en-GB"/>
              </w:rPr>
            </w:pPr>
            <w:r w:rsidRPr="002E48EC">
              <w:rPr>
                <w:sz w:val="22"/>
                <w:lang w:val="en-GB"/>
              </w:rPr>
              <w:t>Order No V-1011 of November 16, 2016</w:t>
            </w:r>
          </w:p>
          <w:p w:rsidR="000B1F87" w:rsidRDefault="000B1F87" w:rsidP="00534467">
            <w:pPr>
              <w:pStyle w:val="Header"/>
              <w:rPr>
                <w:sz w:val="22"/>
                <w:lang w:val="en-GB"/>
              </w:rPr>
            </w:pPr>
          </w:p>
          <w:p w:rsidR="00ED12EE" w:rsidRPr="000B1F87" w:rsidRDefault="00ED12EE" w:rsidP="000B1F87">
            <w:pPr>
              <w:pStyle w:val="Header"/>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w:t>
            </w:r>
            <w:proofErr w:type="gramStart"/>
            <w:r w:rsidRPr="000B1F87">
              <w:rPr>
                <w:sz w:val="22"/>
                <w:lang w:val="en-GB"/>
              </w:rPr>
              <w:t>other</w:t>
            </w:r>
            <w:proofErr w:type="gramEnd"/>
            <w:r w:rsidRPr="000B1F87">
              <w:rPr>
                <w:sz w:val="22"/>
                <w:lang w:val="en-GB"/>
              </w:rPr>
              <w:t xml:space="preserve">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3.4. in accordance with the terms and conditions of the present agreement, when it does not contradict the statutory documents and aims of the host organisation, to pay the host organisation for the internship management ___________ Eur </w:t>
            </w:r>
            <w:r w:rsidR="000B1F87" w:rsidRPr="000B1F87">
              <w:rPr>
                <w:sz w:val="22"/>
                <w:lang w:val="en-GB"/>
              </w:rPr>
              <w:t>(this sum shall make no</w:t>
            </w:r>
            <w:r w:rsidRPr="000B1F87">
              <w:rPr>
                <w:sz w:val="22"/>
                <w:lang w:val="en-GB"/>
              </w:rPr>
              <w:t xml:space="preserve"> less than 50 percent of the studies payment part assigned to cover the salaries of lecturers, scientific staff and other staff connected to studies, but not more than </w:t>
            </w:r>
            <w:r w:rsidR="0000645B">
              <w:rPr>
                <w:sz w:val="22"/>
                <w:lang w:val="en-GB"/>
              </w:rPr>
              <w:t>normed</w:t>
            </w:r>
            <w:r w:rsidRPr="000B1F87">
              <w:rPr>
                <w:sz w:val="22"/>
                <w:lang w:val="en-GB"/>
              </w:rPr>
              <w:t xml:space="preserve"> study price, proportionally to the scope of internship (number of credits), unless the high school and the host organisation agree differently (in case of residents‘ internships this </w:t>
            </w:r>
            <w:r w:rsidR="00C124A5">
              <w:rPr>
                <w:sz w:val="22"/>
                <w:lang w:val="en-GB"/>
              </w:rPr>
              <w:t>clause</w:t>
            </w:r>
            <w:r w:rsidRPr="000B1F87">
              <w:rPr>
                <w:sz w:val="22"/>
                <w:lang w:val="en-GB"/>
              </w:rPr>
              <w:t xml:space="preserve"> can be ignored in accordance with requirements of legislation governing medical, odontology and veterinary residency);</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3.5. additional responsibilities of the high school – </w:t>
            </w:r>
            <w:r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xml:space="preserve">, with whom the student elaborates internship plan (program), who is </w:t>
            </w:r>
            <w:r w:rsidRPr="000B1F87">
              <w:rPr>
                <w:sz w:val="22"/>
                <w:lang w:val="en-GB"/>
              </w:rPr>
              <w:lastRenderedPageBreak/>
              <w:t>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w:t>
            </w:r>
            <w:proofErr w:type="gramStart"/>
            <w:r w:rsidRPr="002E48EC">
              <w:rPr>
                <w:sz w:val="22"/>
                <w:lang w:val="en-GB"/>
              </w:rPr>
              <w:t>residents‘ internships</w:t>
            </w:r>
            <w:proofErr w:type="gramEnd"/>
            <w:r w:rsidRPr="002E48EC">
              <w:rPr>
                <w:sz w:val="22"/>
                <w:lang w:val="en-GB"/>
              </w:rPr>
              <w:t xml:space="preserve">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_____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lastRenderedPageBreak/>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proofErr w:type="gramStart"/>
            <w:r w:rsidRPr="002E48EC">
              <w:rPr>
                <w:sz w:val="22"/>
                <w:lang w:val="en-GB"/>
              </w:rPr>
              <w:t>additional</w:t>
            </w:r>
            <w:proofErr w:type="gramEnd"/>
            <w:r w:rsidRPr="002E48EC">
              <w:rPr>
                <w:sz w:val="22"/>
                <w:lang w:val="en-GB"/>
              </w:rPr>
              <w:t xml:space="preserve">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Pr="002E48EC"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III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ED12EE" w:rsidP="000B1F87">
            <w:pPr>
              <w:ind w:left="175"/>
              <w:jc w:val="both"/>
              <w:rPr>
                <w:bCs/>
                <w:sz w:val="22"/>
                <w:lang w:val="en-GB"/>
              </w:rPr>
            </w:pPr>
            <w:r w:rsidRPr="002E48EC">
              <w:rPr>
                <w:sz w:val="22"/>
                <w:lang w:val="en-GB"/>
              </w:rPr>
              <w:t>7. This agreement shall be amended only upon a written agreement of all parties. Amendments to the agreement shall be an integral part of the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8. </w:t>
            </w:r>
            <w:r w:rsidRPr="002E48EC">
              <w:rPr>
                <w:sz w:val="22"/>
                <w:lang w:val="en-GB"/>
              </w:rPr>
              <w:t>This agreement shall be terminated providing the following</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 xml:space="preserve">8.1. if </w:t>
            </w:r>
            <w:r w:rsidRPr="002E48EC">
              <w:rPr>
                <w:sz w:val="22"/>
                <w:lang w:val="en-GB"/>
              </w:rPr>
              <w:t>the student is withdrawn from the high school, terminates or temporarily suspends the studies (including students on academic leave)</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8.2. </w:t>
            </w:r>
            <w:r w:rsidRPr="002E48EC">
              <w:rPr>
                <w:sz w:val="22"/>
                <w:lang w:val="en-GB"/>
              </w:rPr>
              <w:t>if any of the parties is in breach of obligations under this agreement</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8.3. upon mutual agreement between the parties.</w:t>
            </w:r>
          </w:p>
          <w:p w:rsidR="00ED12EE" w:rsidRPr="002E48EC" w:rsidRDefault="00ED12EE" w:rsidP="000B1F87">
            <w:pPr>
              <w:ind w:left="175"/>
              <w:jc w:val="both"/>
              <w:rPr>
                <w:bCs/>
                <w:sz w:val="22"/>
                <w:lang w:val="en-GB"/>
              </w:rPr>
            </w:pPr>
            <w:r w:rsidRPr="002E48EC">
              <w:rPr>
                <w:bCs/>
                <w:sz w:val="22"/>
                <w:lang w:val="en-GB"/>
              </w:rPr>
              <w:t>9. </w:t>
            </w:r>
            <w:r w:rsidRPr="002E48EC">
              <w:rPr>
                <w:sz w:val="22"/>
                <w:lang w:val="en-GB"/>
              </w:rPr>
              <w:t>Any party of the agreement shall notify other parties of the agreement about termination of the agreement no later than within ______ days prior the termination</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10. 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11. 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12. 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r w:rsidRPr="009647CF">
        <w:rPr>
          <w:sz w:val="22"/>
        </w:rPr>
        <w:t>High school</w:t>
      </w:r>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w:t>
      </w:r>
      <w:bookmarkStart w:id="0" w:name="_GoBack"/>
      <w:bookmarkEnd w:id="0"/>
      <w:r w:rsidRPr="002E48EC">
        <w:rPr>
          <w:sz w:val="22"/>
        </w:rPr>
        <w:t>resas, telefonas, el. paštas, aukštosios mokyklos paskirto praktikos vadovo vardas, pavardė, telefono numeris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6C" w:rsidRDefault="00E74C6C">
      <w:r>
        <w:separator/>
      </w:r>
    </w:p>
  </w:endnote>
  <w:endnote w:type="continuationSeparator" w:id="0">
    <w:p w:rsidR="00E74C6C" w:rsidRDefault="00E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82" w:rsidRDefault="00D31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82" w:rsidRDefault="00D31D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82" w:rsidRPr="00955CA2" w:rsidRDefault="00D31D82">
    <w:pPr>
      <w:pStyle w:val="Footer"/>
      <w:framePr w:wrap="around" w:vAnchor="text" w:hAnchor="margin" w:xAlign="right" w:y="1"/>
      <w:rPr>
        <w:rStyle w:val="PageNumber"/>
        <w:sz w:val="22"/>
        <w:szCs w:val="22"/>
      </w:rPr>
    </w:pPr>
    <w:r w:rsidRPr="00955CA2">
      <w:rPr>
        <w:rStyle w:val="PageNumber"/>
        <w:sz w:val="22"/>
        <w:szCs w:val="22"/>
      </w:rPr>
      <w:fldChar w:fldCharType="begin"/>
    </w:r>
    <w:r w:rsidRPr="00955CA2">
      <w:rPr>
        <w:rStyle w:val="PageNumber"/>
        <w:sz w:val="22"/>
        <w:szCs w:val="22"/>
      </w:rPr>
      <w:instrText xml:space="preserve">PAGE  </w:instrText>
    </w:r>
    <w:r w:rsidRPr="00955CA2">
      <w:rPr>
        <w:rStyle w:val="PageNumber"/>
        <w:sz w:val="22"/>
        <w:szCs w:val="22"/>
      </w:rPr>
      <w:fldChar w:fldCharType="separate"/>
    </w:r>
    <w:r w:rsidR="009647CF">
      <w:rPr>
        <w:rStyle w:val="PageNumber"/>
        <w:noProof/>
        <w:sz w:val="22"/>
        <w:szCs w:val="22"/>
      </w:rPr>
      <w:t>4</w:t>
    </w:r>
    <w:r w:rsidRPr="00955CA2">
      <w:rPr>
        <w:rStyle w:val="PageNumber"/>
        <w:sz w:val="22"/>
        <w:szCs w:val="22"/>
      </w:rPr>
      <w:fldChar w:fldCharType="end"/>
    </w:r>
  </w:p>
  <w:p w:rsidR="00D31D82" w:rsidRDefault="00D31D82" w:rsidP="00CE2F1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6C" w:rsidRDefault="00E74C6C">
      <w:r>
        <w:separator/>
      </w:r>
    </w:p>
  </w:footnote>
  <w:footnote w:type="continuationSeparator" w:id="0">
    <w:p w:rsidR="00E74C6C" w:rsidRDefault="00E7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pPr>
    <w:rPr>
      <w:rFonts w:ascii="Arial Unicode MS" w:eastAsia="Arial Unicode MS" w:hAnsi="Arial Unicode MS" w:cs="Arial Unicode MS"/>
      <w:lang w:val="en-US"/>
    </w:rPr>
  </w:style>
  <w:style w:type="paragraph" w:styleId="BodyText">
    <w:name w:val="Body Text"/>
    <w:basedOn w:val="Normal"/>
    <w:pPr>
      <w:spacing w:before="100" w:beforeAutospacing="1" w:after="100" w:afterAutospacing="1"/>
    </w:pPr>
    <w:rPr>
      <w:rFonts w:ascii="Arial Unicode MS" w:eastAsia="Arial Unicode MS" w:hAnsi="Arial Unicode MS" w:cs="Arial Unicode MS"/>
      <w:lang w:val="en-US"/>
    </w:rPr>
  </w:style>
  <w:style w:type="paragraph" w:styleId="BodyTextIndent">
    <w:name w:val="Body Text Indent"/>
    <w:basedOn w:val="Normal"/>
    <w:pPr>
      <w:spacing w:line="360" w:lineRule="atLeast"/>
      <w:ind w:firstLine="720"/>
      <w:jc w:val="both"/>
    </w:pPr>
  </w:style>
  <w:style w:type="paragraph" w:styleId="BodyText2">
    <w:name w:val="Body Text 2"/>
    <w:basedOn w:val="Normal"/>
    <w:pPr>
      <w:spacing w:line="360" w:lineRule="atLeast"/>
      <w:jc w:val="both"/>
    </w:pPr>
  </w:style>
  <w:style w:type="paragraph" w:styleId="BodyTextIndent2">
    <w:name w:val="Body Text Indent 2"/>
    <w:basedOn w:val="Normal"/>
    <w:pPr>
      <w:spacing w:line="280" w:lineRule="exact"/>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021E2"/>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680654"/>
    <w:rPr>
      <w:rFonts w:ascii="Tahoma" w:hAnsi="Tahoma" w:cs="Tahoma"/>
      <w:sz w:val="16"/>
      <w:szCs w:val="16"/>
    </w:rPr>
  </w:style>
  <w:style w:type="paragraph" w:customStyle="1" w:styleId="DiagramaDiagrama">
    <w:name w:val="Diagrama Diagrama"/>
    <w:basedOn w:val="Normal"/>
    <w:rsid w:val="00B462AA"/>
    <w:pPr>
      <w:spacing w:before="120" w:after="160" w:line="240" w:lineRule="exact"/>
      <w:ind w:firstLine="720"/>
      <w:jc w:val="both"/>
    </w:pPr>
    <w:rPr>
      <w:rFonts w:ascii="Verdana" w:hAnsi="Verdana"/>
      <w:sz w:val="20"/>
      <w:szCs w:val="20"/>
      <w:lang w:val="en-US"/>
    </w:rPr>
  </w:style>
  <w:style w:type="paragraph" w:styleId="Header">
    <w:name w:val="header"/>
    <w:basedOn w:val="Normal"/>
    <w:rsid w:val="0014265D"/>
    <w:pPr>
      <w:tabs>
        <w:tab w:val="center" w:pos="4819"/>
        <w:tab w:val="right" w:pos="9638"/>
      </w:tabs>
    </w:pPr>
  </w:style>
  <w:style w:type="character" w:styleId="Strong">
    <w:name w:val="Strong"/>
    <w:basedOn w:val="DefaultParagraphFont"/>
    <w:qFormat/>
    <w:rsid w:val="008932F7"/>
    <w:rPr>
      <w:b/>
      <w:bCs/>
    </w:rPr>
  </w:style>
  <w:style w:type="character" w:styleId="Hyperlink">
    <w:name w:val="Hyperlink"/>
    <w:basedOn w:val="DefaultParagraphFont"/>
    <w:rsid w:val="00CE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11528</Words>
  <Characters>6571</Characters>
  <Application>Microsoft Office Word</Application>
  <DocSecurity>0</DocSecurity>
  <Lines>54</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DARBO SUTARTIS</vt:lpstr>
      <vt:lpstr>DARBO SUTARTIS</vt:lpstr>
    </vt:vector>
  </TitlesOfParts>
  <Company>AAA</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Jevgenija Avedenij</cp:lastModifiedBy>
  <cp:revision>7</cp:revision>
  <cp:lastPrinted>2012-10-18T08:53:00Z</cp:lastPrinted>
  <dcterms:created xsi:type="dcterms:W3CDTF">2017-03-14T14:34:00Z</dcterms:created>
  <dcterms:modified xsi:type="dcterms:W3CDTF">2017-03-15T12:31:00Z</dcterms:modified>
</cp:coreProperties>
</file>